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454DD9B" w14:textId="77777777" w:rsidR="00EA39D9" w:rsidRDefault="00EA39D9"/>
    <w:p w14:paraId="242B2E11" w14:textId="79DD0193" w:rsidR="00B80298" w:rsidRPr="00B80298" w:rsidRDefault="00B80298" w:rsidP="00B80298">
      <w:pPr>
        <w:jc w:val="center"/>
        <w:rPr>
          <w:rFonts w:asciiTheme="minorHAnsi" w:hAnsiTheme="minorHAnsi" w:cstheme="minorHAnsi"/>
          <w:b/>
          <w:bCs/>
          <w:sz w:val="40"/>
          <w:szCs w:val="40"/>
        </w:rPr>
      </w:pPr>
      <w:r w:rsidRPr="00B80298">
        <w:rPr>
          <w:rFonts w:asciiTheme="minorHAnsi" w:hAnsiTheme="minorHAnsi" w:cstheme="minorHAnsi"/>
          <w:b/>
          <w:bCs/>
          <w:sz w:val="40"/>
          <w:szCs w:val="40"/>
        </w:rPr>
        <w:t>Relationship and Sex Education Policy</w:t>
      </w:r>
    </w:p>
    <w:p w14:paraId="35269E8A" w14:textId="77777777" w:rsidR="00EA39D9" w:rsidRDefault="00EA39D9" w:rsidP="00B80298">
      <w:pPr>
        <w:jc w:val="center"/>
        <w:rPr>
          <w:b/>
          <w:bCs/>
        </w:rPr>
      </w:pPr>
    </w:p>
    <w:p w14:paraId="4AFFCCCD" w14:textId="77777777" w:rsidR="00B80298" w:rsidRDefault="00B80298" w:rsidP="00B80298">
      <w:pPr>
        <w:jc w:val="center"/>
        <w:rPr>
          <w:b/>
          <w:bCs/>
        </w:rPr>
      </w:pPr>
    </w:p>
    <w:p w14:paraId="60F81126" w14:textId="77777777" w:rsidR="00B80298" w:rsidRDefault="00B80298" w:rsidP="00B80298">
      <w:pPr>
        <w:jc w:val="center"/>
        <w:rPr>
          <w:b/>
          <w:bCs/>
        </w:rPr>
      </w:pPr>
    </w:p>
    <w:p w14:paraId="29910FB3" w14:textId="77777777" w:rsidR="00B80298" w:rsidRDefault="00B80298" w:rsidP="00B80298">
      <w:pPr>
        <w:jc w:val="center"/>
        <w:rPr>
          <w:b/>
          <w:bCs/>
        </w:rPr>
      </w:pPr>
    </w:p>
    <w:p w14:paraId="44E6FE0D" w14:textId="77777777" w:rsidR="00B80298" w:rsidRDefault="00B80298" w:rsidP="00B80298">
      <w:pPr>
        <w:jc w:val="center"/>
        <w:rPr>
          <w:b/>
          <w:bCs/>
        </w:rPr>
      </w:pPr>
    </w:p>
    <w:p w14:paraId="43C8515A" w14:textId="77777777" w:rsidR="00B80298" w:rsidRDefault="00B80298" w:rsidP="00B80298">
      <w:pPr>
        <w:jc w:val="center"/>
        <w:rPr>
          <w:b/>
          <w:bCs/>
        </w:rPr>
      </w:pPr>
    </w:p>
    <w:p w14:paraId="65D64419" w14:textId="77777777" w:rsidR="00B80298" w:rsidRDefault="00B80298" w:rsidP="00B80298">
      <w:pPr>
        <w:jc w:val="center"/>
        <w:rPr>
          <w:b/>
          <w:bCs/>
        </w:rPr>
      </w:pPr>
    </w:p>
    <w:p w14:paraId="4A0E3632" w14:textId="77777777" w:rsidR="00B80298" w:rsidRDefault="00B80298" w:rsidP="00B80298">
      <w:pPr>
        <w:jc w:val="center"/>
        <w:rPr>
          <w:b/>
          <w:bCs/>
        </w:rPr>
      </w:pPr>
    </w:p>
    <w:p w14:paraId="65A97D76" w14:textId="77777777" w:rsidR="00B80298" w:rsidRDefault="00B80298" w:rsidP="00B80298">
      <w:pPr>
        <w:jc w:val="center"/>
        <w:rPr>
          <w:b/>
          <w:bCs/>
        </w:rPr>
      </w:pPr>
    </w:p>
    <w:p w14:paraId="371E5825" w14:textId="77777777" w:rsidR="00B80298" w:rsidRDefault="00B80298" w:rsidP="00B80298">
      <w:pPr>
        <w:jc w:val="center"/>
        <w:rPr>
          <w:b/>
          <w:bCs/>
        </w:rPr>
      </w:pPr>
    </w:p>
    <w:p w14:paraId="02A91829" w14:textId="77777777" w:rsidR="00B80298" w:rsidRDefault="00B80298" w:rsidP="00B80298">
      <w:pPr>
        <w:jc w:val="center"/>
        <w:rPr>
          <w:b/>
          <w:bCs/>
        </w:rPr>
      </w:pPr>
    </w:p>
    <w:p w14:paraId="0F6601E2" w14:textId="77777777" w:rsidR="00B80298" w:rsidRDefault="00B80298" w:rsidP="00B80298">
      <w:pPr>
        <w:jc w:val="center"/>
        <w:rPr>
          <w:b/>
          <w:bCs/>
        </w:rPr>
      </w:pPr>
    </w:p>
    <w:p w14:paraId="0AC345CB" w14:textId="77777777" w:rsidR="00B80298" w:rsidRDefault="00B80298" w:rsidP="00B80298">
      <w:pPr>
        <w:jc w:val="center"/>
        <w:rPr>
          <w:b/>
          <w:bCs/>
        </w:rPr>
      </w:pPr>
    </w:p>
    <w:tbl>
      <w:tblPr>
        <w:tblStyle w:val="TableGrid"/>
        <w:tblW w:w="9000" w:type="dxa"/>
        <w:tblInd w:w="-15" w:type="dxa"/>
        <w:tblBorders>
          <w:top w:val="single" w:sz="12" w:space="0" w:color="365F91"/>
          <w:left w:val="single" w:sz="12" w:space="0" w:color="365F91"/>
          <w:bottom w:val="single" w:sz="12" w:space="0" w:color="365F91"/>
          <w:right w:val="single" w:sz="12" w:space="0" w:color="365F91"/>
          <w:insideH w:val="none" w:sz="0" w:space="0" w:color="auto"/>
          <w:insideV w:val="none" w:sz="0" w:space="0" w:color="auto"/>
        </w:tblBorders>
        <w:tblLayout w:type="fixed"/>
        <w:tblLook w:val="04A0" w:firstRow="1" w:lastRow="0" w:firstColumn="1" w:lastColumn="0" w:noHBand="0" w:noVBand="1"/>
      </w:tblPr>
      <w:tblGrid>
        <w:gridCol w:w="2947"/>
        <w:gridCol w:w="6053"/>
      </w:tblGrid>
      <w:tr w:rsidR="00B80298" w:rsidRPr="001B7A03" w14:paraId="3CD39F54" w14:textId="77777777" w:rsidTr="00AD3076">
        <w:trPr>
          <w:trHeight w:val="1017"/>
        </w:trPr>
        <w:tc>
          <w:tcPr>
            <w:tcW w:w="2947" w:type="dxa"/>
            <w:tcBorders>
              <w:top w:val="single" w:sz="12" w:space="0" w:color="5B9BD5" w:themeColor="accent5"/>
              <w:left w:val="single" w:sz="12" w:space="0" w:color="5B9BD5" w:themeColor="accent5"/>
            </w:tcBorders>
            <w:vAlign w:val="center"/>
          </w:tcPr>
          <w:p w14:paraId="7693FB65" w14:textId="77777777" w:rsidR="00B80298" w:rsidRPr="001B7A03" w:rsidRDefault="00B80298" w:rsidP="00AD3076">
            <w:pPr>
              <w:jc w:val="both"/>
              <w:rPr>
                <w:rFonts w:ascii="Cambria" w:eastAsia="Calibri" w:hAnsi="Cambria" w:cs="Arial"/>
                <w:sz w:val="24"/>
                <w:szCs w:val="24"/>
              </w:rPr>
            </w:pPr>
            <w:r w:rsidRPr="001B7A03">
              <w:rPr>
                <w:rFonts w:ascii="Cambria" w:eastAsia="Calibri" w:hAnsi="Cambria" w:cs="Arial"/>
                <w:sz w:val="24"/>
                <w:szCs w:val="24"/>
              </w:rPr>
              <w:t>Last Reviewed</w:t>
            </w:r>
          </w:p>
        </w:tc>
        <w:tc>
          <w:tcPr>
            <w:tcW w:w="6053" w:type="dxa"/>
            <w:tcBorders>
              <w:top w:val="single" w:sz="12" w:space="0" w:color="5B9BD5" w:themeColor="accent5"/>
              <w:right w:val="single" w:sz="12" w:space="0" w:color="5B9BD5" w:themeColor="accent5"/>
            </w:tcBorders>
            <w:vAlign w:val="center"/>
          </w:tcPr>
          <w:p w14:paraId="26203666" w14:textId="2E2A7E62" w:rsidR="00B80298" w:rsidRPr="001B7A03" w:rsidRDefault="00030291" w:rsidP="00AD3076">
            <w:pPr>
              <w:jc w:val="both"/>
              <w:rPr>
                <w:rFonts w:ascii="Cambria" w:eastAsia="Calibri" w:hAnsi="Cambria" w:cs="Arial"/>
                <w:sz w:val="24"/>
                <w:szCs w:val="24"/>
              </w:rPr>
            </w:pPr>
            <w:r>
              <w:rPr>
                <w:rFonts w:ascii="Cambria" w:eastAsia="Calibri" w:hAnsi="Cambria" w:cs="Arial"/>
                <w:sz w:val="24"/>
                <w:szCs w:val="24"/>
              </w:rPr>
              <w:t>19/01/2025</w:t>
            </w:r>
          </w:p>
        </w:tc>
      </w:tr>
      <w:tr w:rsidR="00B80298" w:rsidRPr="001B7A03" w14:paraId="68358D3B" w14:textId="77777777" w:rsidTr="00AD3076">
        <w:trPr>
          <w:trHeight w:val="1017"/>
        </w:trPr>
        <w:tc>
          <w:tcPr>
            <w:tcW w:w="2947" w:type="dxa"/>
            <w:tcBorders>
              <w:left w:val="single" w:sz="12" w:space="0" w:color="5B9BD5" w:themeColor="accent5"/>
            </w:tcBorders>
            <w:vAlign w:val="center"/>
          </w:tcPr>
          <w:p w14:paraId="1D941CCE" w14:textId="77777777" w:rsidR="00B80298" w:rsidRPr="001B7A03" w:rsidRDefault="00B80298" w:rsidP="00AD3076">
            <w:pPr>
              <w:jc w:val="both"/>
              <w:rPr>
                <w:rFonts w:ascii="Cambria" w:eastAsia="Calibri" w:hAnsi="Cambria" w:cs="Arial"/>
                <w:sz w:val="24"/>
                <w:szCs w:val="24"/>
              </w:rPr>
            </w:pPr>
            <w:r w:rsidRPr="001B7A03">
              <w:rPr>
                <w:rFonts w:ascii="Cambria" w:eastAsia="Calibri" w:hAnsi="Cambria" w:cs="Arial"/>
                <w:sz w:val="24"/>
                <w:szCs w:val="24"/>
              </w:rPr>
              <w:t>Next Review</w:t>
            </w:r>
          </w:p>
        </w:tc>
        <w:tc>
          <w:tcPr>
            <w:tcW w:w="6053" w:type="dxa"/>
            <w:tcBorders>
              <w:right w:val="single" w:sz="12" w:space="0" w:color="5B9BD5" w:themeColor="accent5"/>
            </w:tcBorders>
            <w:vAlign w:val="center"/>
          </w:tcPr>
          <w:p w14:paraId="5621C2A8" w14:textId="4E07E1AB" w:rsidR="00B80298" w:rsidRPr="001B7A03" w:rsidRDefault="00030291" w:rsidP="00AD3076">
            <w:pPr>
              <w:jc w:val="both"/>
              <w:rPr>
                <w:rFonts w:ascii="Cambria" w:eastAsia="Calibri" w:hAnsi="Cambria" w:cs="Arial"/>
                <w:sz w:val="24"/>
                <w:szCs w:val="24"/>
              </w:rPr>
            </w:pPr>
            <w:r>
              <w:rPr>
                <w:rFonts w:ascii="Cambria" w:eastAsia="Calibri" w:hAnsi="Cambria" w:cs="Arial"/>
                <w:sz w:val="24"/>
                <w:szCs w:val="24"/>
              </w:rPr>
              <w:t>19/01/2026</w:t>
            </w:r>
          </w:p>
        </w:tc>
      </w:tr>
      <w:tr w:rsidR="00B80298" w:rsidRPr="001B7A03" w14:paraId="77E3A969" w14:textId="77777777" w:rsidTr="00AD3076">
        <w:trPr>
          <w:trHeight w:val="1017"/>
        </w:trPr>
        <w:tc>
          <w:tcPr>
            <w:tcW w:w="2947" w:type="dxa"/>
            <w:tcBorders>
              <w:left w:val="single" w:sz="12" w:space="0" w:color="5B9BD5" w:themeColor="accent5"/>
            </w:tcBorders>
            <w:vAlign w:val="center"/>
          </w:tcPr>
          <w:p w14:paraId="69780758" w14:textId="77777777" w:rsidR="00B80298" w:rsidRPr="001B7A03" w:rsidRDefault="00B80298" w:rsidP="00AD3076">
            <w:pPr>
              <w:jc w:val="both"/>
              <w:rPr>
                <w:rFonts w:ascii="Cambria" w:eastAsia="Calibri" w:hAnsi="Cambria" w:cs="Arial"/>
                <w:sz w:val="24"/>
                <w:szCs w:val="24"/>
              </w:rPr>
            </w:pPr>
            <w:r w:rsidRPr="001B7A03">
              <w:rPr>
                <w:rFonts w:ascii="Cambria" w:eastAsia="Calibri" w:hAnsi="Cambria" w:cs="Arial"/>
                <w:sz w:val="24"/>
                <w:szCs w:val="24"/>
              </w:rPr>
              <w:t>Name of Reviewer</w:t>
            </w:r>
          </w:p>
        </w:tc>
        <w:tc>
          <w:tcPr>
            <w:tcW w:w="6053" w:type="dxa"/>
            <w:tcBorders>
              <w:right w:val="single" w:sz="12" w:space="0" w:color="5B9BD5" w:themeColor="accent5"/>
            </w:tcBorders>
            <w:vAlign w:val="center"/>
          </w:tcPr>
          <w:p w14:paraId="3CBE9EEC" w14:textId="77777777" w:rsidR="00B80298" w:rsidRPr="001B7A03" w:rsidRDefault="00B80298" w:rsidP="00AD3076">
            <w:pPr>
              <w:jc w:val="both"/>
              <w:rPr>
                <w:rFonts w:ascii="Cambria" w:eastAsia="Calibri" w:hAnsi="Cambria" w:cs="Arial"/>
                <w:sz w:val="24"/>
                <w:szCs w:val="24"/>
              </w:rPr>
            </w:pPr>
            <w:r w:rsidRPr="001B7A03">
              <w:rPr>
                <w:rFonts w:ascii="Cambria" w:eastAsia="Calibri" w:hAnsi="Cambria" w:cs="Arial"/>
                <w:sz w:val="24"/>
                <w:szCs w:val="24"/>
              </w:rPr>
              <w:t>_____</w:t>
            </w:r>
            <w:r>
              <w:rPr>
                <w:rFonts w:ascii="Cambria" w:eastAsia="Calibri" w:hAnsi="Cambria" w:cs="Arial"/>
                <w:sz w:val="24"/>
                <w:szCs w:val="24"/>
              </w:rPr>
              <w:t>Chris Dube</w:t>
            </w:r>
            <w:r w:rsidRPr="001B7A03">
              <w:rPr>
                <w:rFonts w:ascii="Cambria" w:eastAsia="Calibri" w:hAnsi="Cambria" w:cs="Arial"/>
                <w:sz w:val="24"/>
                <w:szCs w:val="24"/>
              </w:rPr>
              <w:t>____________</w:t>
            </w:r>
          </w:p>
        </w:tc>
      </w:tr>
      <w:tr w:rsidR="00B80298" w:rsidRPr="001B7A03" w14:paraId="4DFCA795" w14:textId="77777777" w:rsidTr="00AD3076">
        <w:trPr>
          <w:trHeight w:val="1143"/>
        </w:trPr>
        <w:tc>
          <w:tcPr>
            <w:tcW w:w="2947" w:type="dxa"/>
            <w:tcBorders>
              <w:left w:val="single" w:sz="12" w:space="0" w:color="5B9BD5" w:themeColor="accent5"/>
            </w:tcBorders>
            <w:vAlign w:val="center"/>
          </w:tcPr>
          <w:p w14:paraId="73E70DA3" w14:textId="77777777" w:rsidR="00B80298" w:rsidRPr="001B7A03" w:rsidRDefault="00B80298" w:rsidP="00AD3076">
            <w:pPr>
              <w:jc w:val="both"/>
              <w:rPr>
                <w:rFonts w:ascii="Cambria" w:eastAsia="Calibri" w:hAnsi="Cambria" w:cs="Arial"/>
                <w:sz w:val="24"/>
                <w:szCs w:val="24"/>
              </w:rPr>
            </w:pPr>
            <w:r w:rsidRPr="001B7A03">
              <w:rPr>
                <w:rFonts w:ascii="Cambria" w:eastAsia="Calibri" w:hAnsi="Cambria" w:cs="Arial"/>
                <w:sz w:val="24"/>
                <w:szCs w:val="24"/>
              </w:rPr>
              <w:t>Signature of Reviewer</w:t>
            </w:r>
          </w:p>
        </w:tc>
        <w:tc>
          <w:tcPr>
            <w:tcW w:w="6053" w:type="dxa"/>
            <w:tcBorders>
              <w:right w:val="single" w:sz="12" w:space="0" w:color="5B9BD5" w:themeColor="accent5"/>
            </w:tcBorders>
            <w:vAlign w:val="center"/>
          </w:tcPr>
          <w:p w14:paraId="02032705" w14:textId="77777777" w:rsidR="00B80298" w:rsidRPr="001B7A03" w:rsidRDefault="00B80298" w:rsidP="00AD3076">
            <w:pPr>
              <w:jc w:val="both"/>
              <w:rPr>
                <w:rFonts w:ascii="Cambria" w:eastAsia="Calibri" w:hAnsi="Cambria" w:cs="Arial"/>
                <w:sz w:val="24"/>
                <w:szCs w:val="24"/>
              </w:rPr>
            </w:pPr>
            <w:r w:rsidRPr="001B7A03">
              <w:rPr>
                <w:rFonts w:ascii="Cambria" w:eastAsia="Calibri" w:hAnsi="Cambria" w:cs="Arial"/>
                <w:sz w:val="24"/>
                <w:szCs w:val="24"/>
              </w:rPr>
              <w:t>____</w:t>
            </w:r>
            <w:r>
              <w:rPr>
                <w:rFonts w:ascii="Cambria" w:eastAsia="Calibri" w:hAnsi="Cambria" w:cs="Arial"/>
                <w:sz w:val="24"/>
                <w:szCs w:val="24"/>
              </w:rPr>
              <w:t>C. Dube</w:t>
            </w:r>
            <w:r w:rsidRPr="001B7A03">
              <w:rPr>
                <w:rFonts w:ascii="Cambria" w:eastAsia="Calibri" w:hAnsi="Cambria" w:cs="Arial"/>
                <w:sz w:val="24"/>
                <w:szCs w:val="24"/>
              </w:rPr>
              <w:t>___________________</w:t>
            </w:r>
          </w:p>
        </w:tc>
      </w:tr>
      <w:tr w:rsidR="00B80298" w:rsidRPr="001B7A03" w14:paraId="50013C81" w14:textId="77777777" w:rsidTr="00AD3076">
        <w:trPr>
          <w:trHeight w:val="1143"/>
        </w:trPr>
        <w:tc>
          <w:tcPr>
            <w:tcW w:w="2947" w:type="dxa"/>
            <w:tcBorders>
              <w:left w:val="single" w:sz="12" w:space="0" w:color="5B9BD5" w:themeColor="accent5"/>
              <w:bottom w:val="single" w:sz="12" w:space="0" w:color="5B9BD5" w:themeColor="accent5"/>
            </w:tcBorders>
            <w:vAlign w:val="center"/>
          </w:tcPr>
          <w:p w14:paraId="70B5E4E2" w14:textId="77777777" w:rsidR="00B80298" w:rsidRPr="001B7A03" w:rsidRDefault="00B80298" w:rsidP="00AD3076">
            <w:pPr>
              <w:jc w:val="both"/>
              <w:rPr>
                <w:rFonts w:ascii="Cambria" w:eastAsia="Calibri" w:hAnsi="Cambria" w:cs="Arial"/>
                <w:sz w:val="24"/>
                <w:szCs w:val="24"/>
              </w:rPr>
            </w:pPr>
            <w:r w:rsidRPr="001B7A03">
              <w:rPr>
                <w:rFonts w:ascii="Cambria" w:eastAsia="Calibri" w:hAnsi="Cambria" w:cs="Arial"/>
                <w:sz w:val="24"/>
                <w:szCs w:val="24"/>
              </w:rPr>
              <w:t>Version Number</w:t>
            </w:r>
          </w:p>
        </w:tc>
        <w:tc>
          <w:tcPr>
            <w:tcW w:w="6053" w:type="dxa"/>
            <w:tcBorders>
              <w:bottom w:val="single" w:sz="12" w:space="0" w:color="5B9BD5" w:themeColor="accent5"/>
              <w:right w:val="single" w:sz="12" w:space="0" w:color="5B9BD5" w:themeColor="accent5"/>
            </w:tcBorders>
            <w:vAlign w:val="center"/>
          </w:tcPr>
          <w:p w14:paraId="0D1A9636" w14:textId="77777777" w:rsidR="00B80298" w:rsidRPr="001B7A03" w:rsidRDefault="00B80298" w:rsidP="00AD3076">
            <w:pPr>
              <w:jc w:val="both"/>
              <w:rPr>
                <w:rFonts w:ascii="Cambria" w:eastAsia="Calibri" w:hAnsi="Cambria" w:cs="Arial"/>
                <w:sz w:val="24"/>
                <w:szCs w:val="24"/>
              </w:rPr>
            </w:pPr>
            <w:r w:rsidRPr="001B7A03">
              <w:rPr>
                <w:rFonts w:ascii="Cambria" w:eastAsia="Calibri" w:hAnsi="Cambria" w:cs="Arial"/>
                <w:sz w:val="24"/>
                <w:szCs w:val="24"/>
              </w:rPr>
              <w:t>_______</w:t>
            </w:r>
            <w:r>
              <w:rPr>
                <w:rFonts w:ascii="Cambria" w:eastAsia="Calibri" w:hAnsi="Cambria" w:cs="Arial"/>
                <w:sz w:val="24"/>
                <w:szCs w:val="24"/>
              </w:rPr>
              <w:t>01</w:t>
            </w:r>
            <w:r w:rsidRPr="001B7A03">
              <w:rPr>
                <w:rFonts w:ascii="Cambria" w:eastAsia="Calibri" w:hAnsi="Cambria" w:cs="Arial"/>
                <w:sz w:val="24"/>
                <w:szCs w:val="24"/>
              </w:rPr>
              <w:t>_______________________</w:t>
            </w:r>
          </w:p>
        </w:tc>
      </w:tr>
    </w:tbl>
    <w:p w14:paraId="5E5514ED" w14:textId="77777777" w:rsidR="00B80298" w:rsidRPr="00B80298" w:rsidRDefault="00B80298" w:rsidP="00B80298">
      <w:pPr>
        <w:jc w:val="center"/>
        <w:rPr>
          <w:b/>
          <w:bCs/>
        </w:rPr>
      </w:pPr>
    </w:p>
    <w:p w14:paraId="0F3D0853" w14:textId="77777777" w:rsidR="00EA39D9" w:rsidRDefault="00EA39D9"/>
    <w:p w14:paraId="2BFB74C8" w14:textId="77777777" w:rsidR="00EA39D9" w:rsidRDefault="00EA39D9"/>
    <w:p w14:paraId="0DE67812" w14:textId="77777777" w:rsidR="00EA39D9" w:rsidRDefault="00EA39D9"/>
    <w:tbl>
      <w:tblPr>
        <w:tblStyle w:val="GridTable4-Accent11"/>
        <w:tblW w:w="9040" w:type="dxa"/>
        <w:tblLook w:val="04A0" w:firstRow="1" w:lastRow="0" w:firstColumn="1" w:lastColumn="0" w:noHBand="0" w:noVBand="1"/>
      </w:tblPr>
      <w:tblGrid>
        <w:gridCol w:w="3658"/>
        <w:gridCol w:w="5382"/>
      </w:tblGrid>
      <w:tr w:rsidR="008A5CF9" w:rsidRPr="008A5CF9" w14:paraId="09B0DEFA" w14:textId="77777777" w:rsidTr="008A5CF9">
        <w:trPr>
          <w:cnfStyle w:val="100000000000" w:firstRow="1" w:lastRow="0" w:firstColumn="0" w:lastColumn="0" w:oddVBand="0" w:evenVBand="0" w:oddHBand="0" w:evenHBand="0" w:firstRowFirstColumn="0" w:firstRowLastColumn="0" w:lastRowFirstColumn="0" w:lastRowLastColumn="0"/>
          <w:trHeight w:val="267"/>
        </w:trPr>
        <w:tc>
          <w:tcPr>
            <w:cnfStyle w:val="001000000000" w:firstRow="0" w:lastRow="0" w:firstColumn="1" w:lastColumn="0" w:oddVBand="0" w:evenVBand="0" w:oddHBand="0" w:evenHBand="0" w:firstRowFirstColumn="0" w:firstRowLastColumn="0" w:lastRowFirstColumn="0" w:lastRowLastColumn="0"/>
            <w:tcW w:w="3658" w:type="dxa"/>
          </w:tcPr>
          <w:p w14:paraId="41DB135D" w14:textId="77777777" w:rsidR="008A5CF9" w:rsidRPr="008A5CF9" w:rsidRDefault="008A5CF9" w:rsidP="008A5CF9">
            <w:pPr>
              <w:jc w:val="center"/>
              <w:rPr>
                <w:rFonts w:ascii="Cambria" w:eastAsia="Calibri" w:hAnsi="Cambria" w:cs="Calibri"/>
                <w:szCs w:val="24"/>
              </w:rPr>
            </w:pPr>
            <w:r w:rsidRPr="008A5CF9">
              <w:rPr>
                <w:rFonts w:ascii="Cambria" w:eastAsia="Calibri" w:hAnsi="Cambria" w:cs="Calibri"/>
                <w:szCs w:val="24"/>
              </w:rPr>
              <w:t>LEGISLATION</w:t>
            </w:r>
          </w:p>
        </w:tc>
        <w:tc>
          <w:tcPr>
            <w:tcW w:w="5382" w:type="dxa"/>
          </w:tcPr>
          <w:p w14:paraId="0C829C3F" w14:textId="77777777" w:rsidR="008A5CF9" w:rsidRPr="008A5CF9" w:rsidRDefault="008A5CF9" w:rsidP="008A5CF9">
            <w:pPr>
              <w:jc w:val="center"/>
              <w:cnfStyle w:val="100000000000" w:firstRow="1" w:lastRow="0" w:firstColumn="0" w:lastColumn="0" w:oddVBand="0" w:evenVBand="0" w:oddHBand="0" w:evenHBand="0" w:firstRowFirstColumn="0" w:firstRowLastColumn="0" w:lastRowFirstColumn="0" w:lastRowLastColumn="0"/>
              <w:rPr>
                <w:rFonts w:ascii="Cambria" w:eastAsia="Calibri" w:hAnsi="Cambria" w:cs="Calibri"/>
                <w:szCs w:val="24"/>
              </w:rPr>
            </w:pPr>
            <w:r w:rsidRPr="008A5CF9">
              <w:rPr>
                <w:rFonts w:ascii="Cambria" w:eastAsia="Calibri" w:hAnsi="Cambria" w:cs="Calibri"/>
                <w:szCs w:val="24"/>
              </w:rPr>
              <w:t>BEST PRACTICE GUIDELINES</w:t>
            </w:r>
          </w:p>
        </w:tc>
      </w:tr>
      <w:tr w:rsidR="008A5CF9" w:rsidRPr="008A5CF9" w14:paraId="35742026" w14:textId="77777777" w:rsidTr="008A5CF9">
        <w:trPr>
          <w:cnfStyle w:val="000000100000" w:firstRow="0" w:lastRow="0" w:firstColumn="0" w:lastColumn="0" w:oddVBand="0" w:evenVBand="0" w:oddHBand="1" w:evenHBand="0" w:firstRowFirstColumn="0" w:firstRowLastColumn="0" w:lastRowFirstColumn="0" w:lastRowLastColumn="0"/>
          <w:trHeight w:val="2596"/>
        </w:trPr>
        <w:tc>
          <w:tcPr>
            <w:cnfStyle w:val="001000000000" w:firstRow="0" w:lastRow="0" w:firstColumn="1" w:lastColumn="0" w:oddVBand="0" w:evenVBand="0" w:oddHBand="0" w:evenHBand="0" w:firstRowFirstColumn="0" w:firstRowLastColumn="0" w:lastRowFirstColumn="0" w:lastRowLastColumn="0"/>
            <w:tcW w:w="3658" w:type="dxa"/>
          </w:tcPr>
          <w:p w14:paraId="04073E3D" w14:textId="385B50E9" w:rsidR="008A5CF9" w:rsidRPr="008A5CF9" w:rsidRDefault="008A5CF9" w:rsidP="008A5CF9">
            <w:pPr>
              <w:pStyle w:val="ListParagraph"/>
              <w:numPr>
                <w:ilvl w:val="0"/>
                <w:numId w:val="3"/>
              </w:numPr>
              <w:spacing w:line="360" w:lineRule="auto"/>
              <w:ind w:left="466"/>
              <w:jc w:val="both"/>
              <w:rPr>
                <w:rFonts w:ascii="Cambria" w:eastAsia="Calibri" w:hAnsi="Cambria" w:cs="Calibri"/>
                <w:sz w:val="20"/>
                <w:szCs w:val="20"/>
              </w:rPr>
            </w:pPr>
            <w:r>
              <w:rPr>
                <w:rFonts w:ascii="Cambria" w:eastAsia="Calibri" w:hAnsi="Cambria" w:cs="Calibri"/>
                <w:b w:val="0"/>
                <w:sz w:val="20"/>
                <w:szCs w:val="20"/>
              </w:rPr>
              <w:t>Th</w:t>
            </w:r>
            <w:r w:rsidRPr="008A5CF9">
              <w:rPr>
                <w:rFonts w:ascii="Cambria" w:eastAsia="Calibri" w:hAnsi="Cambria" w:cs="Calibri"/>
                <w:sz w:val="20"/>
                <w:szCs w:val="20"/>
              </w:rPr>
              <w:t>e Children and Social work act 2017</w:t>
            </w:r>
          </w:p>
          <w:p w14:paraId="24EB6189" w14:textId="799ECE70" w:rsidR="008A5CF9" w:rsidRPr="008A5CF9" w:rsidRDefault="008A5CF9" w:rsidP="008A5CF9">
            <w:pPr>
              <w:pStyle w:val="ListParagraph"/>
              <w:numPr>
                <w:ilvl w:val="0"/>
                <w:numId w:val="3"/>
              </w:numPr>
              <w:spacing w:line="360" w:lineRule="auto"/>
              <w:ind w:left="466"/>
              <w:jc w:val="both"/>
              <w:rPr>
                <w:rFonts w:ascii="Cambria" w:eastAsia="Calibri" w:hAnsi="Cambria" w:cs="Calibri"/>
                <w:sz w:val="20"/>
                <w:szCs w:val="20"/>
              </w:rPr>
            </w:pPr>
            <w:r w:rsidRPr="008A5CF9">
              <w:rPr>
                <w:rFonts w:ascii="Cambria" w:eastAsia="Calibri" w:hAnsi="Cambria" w:cs="Calibri"/>
                <w:sz w:val="20"/>
                <w:szCs w:val="20"/>
              </w:rPr>
              <w:t>The Education Act 1996</w:t>
            </w:r>
          </w:p>
          <w:p w14:paraId="75098129" w14:textId="77777777" w:rsidR="008A5CF9" w:rsidRPr="008A5CF9" w:rsidRDefault="008A5CF9" w:rsidP="008A5CF9">
            <w:pPr>
              <w:spacing w:line="360" w:lineRule="auto"/>
              <w:jc w:val="both"/>
              <w:rPr>
                <w:rFonts w:ascii="Cambria" w:eastAsia="Calibri" w:hAnsi="Cambria" w:cs="Calibri"/>
                <w:sz w:val="20"/>
                <w:szCs w:val="20"/>
              </w:rPr>
            </w:pPr>
          </w:p>
        </w:tc>
        <w:tc>
          <w:tcPr>
            <w:tcW w:w="5382" w:type="dxa"/>
          </w:tcPr>
          <w:p w14:paraId="08ACEB2C" w14:textId="77777777" w:rsidR="008A5CF9" w:rsidRPr="008A5CF9" w:rsidRDefault="008A5CF9" w:rsidP="008A5CF9">
            <w:pPr>
              <w:numPr>
                <w:ilvl w:val="0"/>
                <w:numId w:val="4"/>
              </w:numPr>
              <w:spacing w:line="360" w:lineRule="auto"/>
              <w:ind w:left="459"/>
              <w:contextualSpacing/>
              <w:jc w:val="both"/>
              <w:cnfStyle w:val="000000100000" w:firstRow="0" w:lastRow="0" w:firstColumn="0" w:lastColumn="0" w:oddVBand="0" w:evenVBand="0" w:oddHBand="1" w:evenHBand="0" w:firstRowFirstColumn="0" w:firstRowLastColumn="0" w:lastRowFirstColumn="0" w:lastRowLastColumn="0"/>
              <w:rPr>
                <w:rFonts w:ascii="Cambria" w:eastAsia="Calibri" w:hAnsi="Cambria" w:cs="Calibri"/>
                <w:b/>
                <w:sz w:val="20"/>
                <w:szCs w:val="20"/>
              </w:rPr>
            </w:pPr>
            <w:r w:rsidRPr="008A5CF9">
              <w:rPr>
                <w:rFonts w:ascii="Cambria" w:eastAsia="Calibri" w:hAnsi="Cambria" w:cs="Calibri"/>
                <w:b/>
                <w:sz w:val="20"/>
                <w:szCs w:val="20"/>
              </w:rPr>
              <w:t>Alternative Provision Statutory guidance for local</w:t>
            </w:r>
          </w:p>
          <w:p w14:paraId="6CC6B266" w14:textId="77777777" w:rsidR="008A5CF9" w:rsidRPr="008A5CF9" w:rsidRDefault="008A5CF9" w:rsidP="008A5CF9">
            <w:pPr>
              <w:spacing w:line="360" w:lineRule="auto"/>
              <w:ind w:left="459"/>
              <w:contextualSpacing/>
              <w:jc w:val="both"/>
              <w:cnfStyle w:val="000000100000" w:firstRow="0" w:lastRow="0" w:firstColumn="0" w:lastColumn="0" w:oddVBand="0" w:evenVBand="0" w:oddHBand="1" w:evenHBand="0" w:firstRowFirstColumn="0" w:firstRowLastColumn="0" w:lastRowFirstColumn="0" w:lastRowLastColumn="0"/>
              <w:rPr>
                <w:rFonts w:ascii="Cambria" w:eastAsia="Calibri" w:hAnsi="Cambria" w:cs="Calibri"/>
                <w:b/>
                <w:sz w:val="20"/>
                <w:szCs w:val="20"/>
              </w:rPr>
            </w:pPr>
            <w:r w:rsidRPr="008A5CF9">
              <w:rPr>
                <w:rFonts w:ascii="Cambria" w:eastAsia="Calibri" w:hAnsi="Cambria" w:cs="Calibri"/>
                <w:b/>
                <w:sz w:val="20"/>
                <w:szCs w:val="20"/>
              </w:rPr>
              <w:t>Authorities</w:t>
            </w:r>
          </w:p>
          <w:p w14:paraId="1DB6F4D5" w14:textId="77777777" w:rsidR="008A5CF9" w:rsidRPr="008A5CF9" w:rsidRDefault="008A5CF9" w:rsidP="008A5CF9">
            <w:pPr>
              <w:numPr>
                <w:ilvl w:val="0"/>
                <w:numId w:val="4"/>
              </w:numPr>
              <w:spacing w:line="360" w:lineRule="auto"/>
              <w:ind w:left="459"/>
              <w:contextualSpacing/>
              <w:jc w:val="both"/>
              <w:cnfStyle w:val="000000100000" w:firstRow="0" w:lastRow="0" w:firstColumn="0" w:lastColumn="0" w:oddVBand="0" w:evenVBand="0" w:oddHBand="1" w:evenHBand="0" w:firstRowFirstColumn="0" w:firstRowLastColumn="0" w:lastRowFirstColumn="0" w:lastRowLastColumn="0"/>
              <w:rPr>
                <w:rFonts w:ascii="Cambria" w:eastAsia="Calibri" w:hAnsi="Cambria" w:cs="Calibri"/>
                <w:b/>
                <w:sz w:val="20"/>
                <w:szCs w:val="20"/>
              </w:rPr>
            </w:pPr>
            <w:r w:rsidRPr="008A5CF9">
              <w:rPr>
                <w:rFonts w:ascii="Cambria" w:eastAsia="Calibri" w:hAnsi="Cambria" w:cs="Calibri"/>
                <w:b/>
                <w:sz w:val="20"/>
                <w:szCs w:val="20"/>
              </w:rPr>
              <w:t>The Independent School Standards Guidance for independent school</w:t>
            </w:r>
          </w:p>
          <w:p w14:paraId="1015F567" w14:textId="63F174BE" w:rsidR="008A5CF9" w:rsidRPr="008A5CF9" w:rsidRDefault="008A5CF9" w:rsidP="008A5CF9">
            <w:pPr>
              <w:spacing w:line="360" w:lineRule="auto"/>
              <w:ind w:left="459"/>
              <w:contextualSpacing/>
              <w:jc w:val="both"/>
              <w:cnfStyle w:val="000000100000" w:firstRow="0" w:lastRow="0" w:firstColumn="0" w:lastColumn="0" w:oddVBand="0" w:evenVBand="0" w:oddHBand="1" w:evenHBand="0" w:firstRowFirstColumn="0" w:firstRowLastColumn="0" w:lastRowFirstColumn="0" w:lastRowLastColumn="0"/>
              <w:rPr>
                <w:rFonts w:ascii="Cambria" w:eastAsia="Calibri" w:hAnsi="Cambria" w:cs="Calibri"/>
                <w:b/>
                <w:sz w:val="20"/>
                <w:szCs w:val="20"/>
              </w:rPr>
            </w:pPr>
          </w:p>
        </w:tc>
      </w:tr>
    </w:tbl>
    <w:p w14:paraId="5280A3AD" w14:textId="77777777" w:rsidR="00EA39D9" w:rsidRDefault="00EA39D9"/>
    <w:p w14:paraId="14E9E6C5" w14:textId="77777777" w:rsidR="00EA39D9" w:rsidRDefault="00EA39D9"/>
    <w:p w14:paraId="72CD3CFA" w14:textId="77777777" w:rsidR="00EA39D9" w:rsidRDefault="00EA39D9"/>
    <w:p w14:paraId="62443F8D" w14:textId="77777777" w:rsidR="00EA39D9" w:rsidRDefault="00EA39D9"/>
    <w:p w14:paraId="0FFAD85F" w14:textId="77777777" w:rsidR="00EA39D9" w:rsidRDefault="00EA39D9"/>
    <w:p w14:paraId="59CCDBFA" w14:textId="77777777" w:rsidR="00EA39D9" w:rsidRDefault="00EA39D9"/>
    <w:p w14:paraId="19DC9C2C" w14:textId="77777777" w:rsidR="00EA39D9" w:rsidRDefault="00EA39D9"/>
    <w:p w14:paraId="6040748E" w14:textId="77777777" w:rsidR="00EA39D9" w:rsidRDefault="00EA39D9"/>
    <w:p w14:paraId="3CBC2BDB" w14:textId="77777777" w:rsidR="00EA39D9" w:rsidRDefault="00EA39D9"/>
    <w:p w14:paraId="70B4D231" w14:textId="77777777" w:rsidR="00EA39D9" w:rsidRDefault="00EA39D9"/>
    <w:p w14:paraId="207B5E03" w14:textId="77777777" w:rsidR="00EA39D9" w:rsidRDefault="00EA39D9"/>
    <w:p w14:paraId="1A1DC4DC" w14:textId="77777777" w:rsidR="00EA39D9" w:rsidRDefault="00EA39D9"/>
    <w:p w14:paraId="79A977E7" w14:textId="77777777" w:rsidR="00EA39D9" w:rsidRDefault="00EA39D9"/>
    <w:p w14:paraId="799E78CB" w14:textId="77777777" w:rsidR="00EA39D9" w:rsidRDefault="00EA39D9"/>
    <w:p w14:paraId="6CB2B77E" w14:textId="77777777" w:rsidR="00EA39D9" w:rsidRDefault="00EA39D9"/>
    <w:p w14:paraId="00833810" w14:textId="77777777" w:rsidR="00EA39D9" w:rsidRDefault="00EA39D9"/>
    <w:p w14:paraId="39F434B9" w14:textId="77777777" w:rsidR="00EA39D9" w:rsidRDefault="00EA39D9"/>
    <w:p w14:paraId="16C18D65" w14:textId="77777777" w:rsidR="00EA39D9" w:rsidRDefault="00EA39D9"/>
    <w:p w14:paraId="0DDC2116" w14:textId="77777777" w:rsidR="00EA39D9" w:rsidRDefault="00EA39D9"/>
    <w:p w14:paraId="571D80B1" w14:textId="77777777" w:rsidR="00EA39D9" w:rsidRDefault="00EA39D9"/>
    <w:p w14:paraId="019C7079" w14:textId="77777777" w:rsidR="00EA39D9" w:rsidRDefault="00EA39D9"/>
    <w:p w14:paraId="5C8C7852" w14:textId="77777777" w:rsidR="00EA39D9" w:rsidRDefault="00EA39D9"/>
    <w:p w14:paraId="19B90EDB" w14:textId="77777777" w:rsidR="00EA39D9" w:rsidRDefault="00EA39D9"/>
    <w:p w14:paraId="2A62322F" w14:textId="77777777" w:rsidR="008A5CF9" w:rsidRDefault="008A5CF9"/>
    <w:p w14:paraId="02D02C9B" w14:textId="061B7DE4" w:rsidR="00EA39D9" w:rsidRPr="00EA39D9" w:rsidRDefault="00EA39D9" w:rsidP="00EA39D9">
      <w:pPr>
        <w:jc w:val="both"/>
        <w:rPr>
          <w:rFonts w:asciiTheme="minorHAnsi" w:hAnsiTheme="minorHAnsi" w:cstheme="minorHAnsi"/>
          <w:b/>
          <w:bCs/>
        </w:rPr>
      </w:pPr>
      <w:r w:rsidRPr="00EA39D9">
        <w:rPr>
          <w:rFonts w:asciiTheme="minorHAnsi" w:hAnsiTheme="minorHAnsi" w:cstheme="minorHAnsi"/>
          <w:b/>
          <w:bCs/>
        </w:rPr>
        <w:t>Policy Statement</w:t>
      </w:r>
    </w:p>
    <w:p w14:paraId="47286D15" w14:textId="341A0DAC" w:rsidR="00EA39D9" w:rsidRDefault="00030291" w:rsidP="00EA39D9">
      <w:pPr>
        <w:jc w:val="both"/>
        <w:rPr>
          <w:rFonts w:asciiTheme="minorHAnsi" w:hAnsiTheme="minorHAnsi" w:cstheme="minorHAnsi"/>
        </w:rPr>
      </w:pPr>
      <w:r>
        <w:rPr>
          <w:rFonts w:asciiTheme="minorHAnsi" w:hAnsiTheme="minorHAnsi" w:cstheme="minorHAnsi"/>
        </w:rPr>
        <w:t>Relief Caring School</w:t>
      </w:r>
      <w:r w:rsidR="007370BE">
        <w:rPr>
          <w:rFonts w:asciiTheme="minorHAnsi" w:hAnsiTheme="minorHAnsi" w:cstheme="minorHAnsi"/>
        </w:rPr>
        <w:t xml:space="preserve"> </w:t>
      </w:r>
      <w:r w:rsidR="00EA39D9" w:rsidRPr="00EA39D9">
        <w:rPr>
          <w:rFonts w:asciiTheme="minorHAnsi" w:hAnsiTheme="minorHAnsi" w:cstheme="minorHAnsi"/>
        </w:rPr>
        <w:t>is aware that quality Relationships and Sex Education enables young people to develop positive relationships, make informed decisions, avoid negative outcomes like unplanned pregnancy, and maintain good sexual health throughout their lives. This policy is committed to achieving these vital educational goals.</w:t>
      </w:r>
    </w:p>
    <w:p w14:paraId="52E97119" w14:textId="541C9BA4" w:rsidR="00EA39D9" w:rsidRPr="00EA39D9" w:rsidRDefault="00EA39D9" w:rsidP="00EA39D9">
      <w:pPr>
        <w:jc w:val="both"/>
        <w:rPr>
          <w:rFonts w:asciiTheme="minorHAnsi" w:hAnsiTheme="minorHAnsi" w:cstheme="minorHAnsi"/>
          <w:b/>
          <w:bCs/>
        </w:rPr>
      </w:pPr>
      <w:r w:rsidRPr="00EA39D9">
        <w:rPr>
          <w:rFonts w:asciiTheme="minorHAnsi" w:hAnsiTheme="minorHAnsi" w:cstheme="minorHAnsi"/>
          <w:b/>
          <w:bCs/>
        </w:rPr>
        <w:t>Aims</w:t>
      </w:r>
    </w:p>
    <w:p w14:paraId="6C18D17C" w14:textId="77777777" w:rsidR="00EA39D9" w:rsidRPr="00EA39D9" w:rsidRDefault="00EA39D9" w:rsidP="00EA39D9">
      <w:pPr>
        <w:jc w:val="both"/>
        <w:rPr>
          <w:rFonts w:asciiTheme="minorHAnsi" w:hAnsiTheme="minorHAnsi" w:cstheme="minorHAnsi"/>
        </w:rPr>
      </w:pPr>
      <w:r w:rsidRPr="00030291">
        <w:rPr>
          <w:rFonts w:asciiTheme="minorHAnsi" w:hAnsiTheme="minorHAnsi" w:cstheme="minorHAnsi"/>
          <w:b/>
        </w:rPr>
        <w:t>Our school's Relationship, Sex, and Education (RSE) policy aims to</w:t>
      </w:r>
      <w:r w:rsidRPr="00EA39D9">
        <w:rPr>
          <w:rFonts w:asciiTheme="minorHAnsi" w:hAnsiTheme="minorHAnsi" w:cstheme="minorHAnsi"/>
        </w:rPr>
        <w:t>:</w:t>
      </w:r>
    </w:p>
    <w:p w14:paraId="45EF8900" w14:textId="442FE9D2" w:rsidR="00EA39D9" w:rsidRPr="00EA39D9" w:rsidRDefault="00EA39D9" w:rsidP="00EA39D9">
      <w:pPr>
        <w:jc w:val="both"/>
        <w:rPr>
          <w:rFonts w:asciiTheme="minorHAnsi" w:hAnsiTheme="minorHAnsi" w:cstheme="minorHAnsi"/>
          <w:b/>
          <w:bCs/>
        </w:rPr>
      </w:pPr>
      <w:r w:rsidRPr="00EA39D9">
        <w:rPr>
          <w:rFonts w:asciiTheme="minorHAnsi" w:hAnsiTheme="minorHAnsi" w:cstheme="minorHAnsi"/>
          <w:b/>
          <w:bCs/>
        </w:rPr>
        <w:t>PRIMARY and SECONDARY (Relationships)</w:t>
      </w:r>
    </w:p>
    <w:p w14:paraId="1167A044" w14:textId="77777777" w:rsidR="00EA39D9" w:rsidRPr="00EA39D9" w:rsidRDefault="00EA39D9" w:rsidP="00EA39D9">
      <w:pPr>
        <w:pStyle w:val="ListParagraph"/>
        <w:numPr>
          <w:ilvl w:val="0"/>
          <w:numId w:val="1"/>
        </w:numPr>
        <w:jc w:val="both"/>
        <w:rPr>
          <w:rFonts w:asciiTheme="minorHAnsi" w:hAnsiTheme="minorHAnsi" w:cstheme="minorHAnsi"/>
        </w:rPr>
      </w:pPr>
      <w:r w:rsidRPr="00EA39D9">
        <w:rPr>
          <w:rFonts w:asciiTheme="minorHAnsi" w:hAnsiTheme="minorHAnsi" w:cstheme="minorHAnsi"/>
        </w:rPr>
        <w:t>Establish a framework for facilitating sensitive discussions.</w:t>
      </w:r>
    </w:p>
    <w:p w14:paraId="4F7C0D52" w14:textId="77777777" w:rsidR="00EA39D9" w:rsidRPr="00EA39D9" w:rsidRDefault="00EA39D9" w:rsidP="00EA39D9">
      <w:pPr>
        <w:pStyle w:val="ListParagraph"/>
        <w:numPr>
          <w:ilvl w:val="0"/>
          <w:numId w:val="1"/>
        </w:numPr>
        <w:jc w:val="both"/>
        <w:rPr>
          <w:rFonts w:asciiTheme="minorHAnsi" w:hAnsiTheme="minorHAnsi" w:cstheme="minorHAnsi"/>
        </w:rPr>
      </w:pPr>
      <w:r w:rsidRPr="00EA39D9">
        <w:rPr>
          <w:rFonts w:asciiTheme="minorHAnsi" w:hAnsiTheme="minorHAnsi" w:cstheme="minorHAnsi"/>
        </w:rPr>
        <w:t>Prepare students for puberty, providing an understanding of sexual development, health, and hygiene.</w:t>
      </w:r>
    </w:p>
    <w:p w14:paraId="6517DA9A" w14:textId="77777777" w:rsidR="00EA39D9" w:rsidRPr="00EA39D9" w:rsidRDefault="00EA39D9" w:rsidP="00EA39D9">
      <w:pPr>
        <w:pStyle w:val="ListParagraph"/>
        <w:numPr>
          <w:ilvl w:val="0"/>
          <w:numId w:val="1"/>
        </w:numPr>
        <w:jc w:val="both"/>
        <w:rPr>
          <w:rFonts w:asciiTheme="minorHAnsi" w:hAnsiTheme="minorHAnsi" w:cstheme="minorHAnsi"/>
        </w:rPr>
      </w:pPr>
      <w:r w:rsidRPr="00EA39D9">
        <w:rPr>
          <w:rFonts w:asciiTheme="minorHAnsi" w:hAnsiTheme="minorHAnsi" w:cstheme="minorHAnsi"/>
        </w:rPr>
        <w:t>Assist students in developing self-respect, confidence, and empathy.</w:t>
      </w:r>
    </w:p>
    <w:p w14:paraId="5F2A41A6" w14:textId="77777777" w:rsidR="00EA39D9" w:rsidRPr="00EA39D9" w:rsidRDefault="00EA39D9" w:rsidP="00EA39D9">
      <w:pPr>
        <w:pStyle w:val="ListParagraph"/>
        <w:numPr>
          <w:ilvl w:val="0"/>
          <w:numId w:val="1"/>
        </w:numPr>
        <w:jc w:val="both"/>
        <w:rPr>
          <w:rFonts w:asciiTheme="minorHAnsi" w:hAnsiTheme="minorHAnsi" w:cstheme="minorHAnsi"/>
        </w:rPr>
      </w:pPr>
      <w:r w:rsidRPr="00EA39D9">
        <w:rPr>
          <w:rFonts w:asciiTheme="minorHAnsi" w:hAnsiTheme="minorHAnsi" w:cstheme="minorHAnsi"/>
        </w:rPr>
        <w:t>Foster a positive culture surrounding sexuality and relationships.</w:t>
      </w:r>
    </w:p>
    <w:p w14:paraId="7325793C" w14:textId="77777777" w:rsidR="00EA39D9" w:rsidRPr="00EA39D9" w:rsidRDefault="00EA39D9" w:rsidP="00EA39D9">
      <w:pPr>
        <w:pStyle w:val="ListParagraph"/>
        <w:numPr>
          <w:ilvl w:val="0"/>
          <w:numId w:val="1"/>
        </w:numPr>
        <w:jc w:val="both"/>
        <w:rPr>
          <w:rFonts w:asciiTheme="minorHAnsi" w:hAnsiTheme="minorHAnsi" w:cstheme="minorHAnsi"/>
        </w:rPr>
      </w:pPr>
      <w:r w:rsidRPr="00EA39D9">
        <w:rPr>
          <w:rFonts w:asciiTheme="minorHAnsi" w:hAnsiTheme="minorHAnsi" w:cstheme="minorHAnsi"/>
        </w:rPr>
        <w:t>Educate students on the appropriate vocabulary to describe themselves and their bodies.</w:t>
      </w:r>
    </w:p>
    <w:p w14:paraId="7FA8DD44" w14:textId="77777777" w:rsidR="00EA39D9" w:rsidRPr="00EA39D9" w:rsidRDefault="00EA39D9" w:rsidP="00EA39D9">
      <w:pPr>
        <w:pStyle w:val="ListParagraph"/>
        <w:numPr>
          <w:ilvl w:val="0"/>
          <w:numId w:val="1"/>
        </w:numPr>
        <w:jc w:val="both"/>
        <w:rPr>
          <w:rFonts w:asciiTheme="minorHAnsi" w:hAnsiTheme="minorHAnsi" w:cstheme="minorHAnsi"/>
        </w:rPr>
      </w:pPr>
      <w:r w:rsidRPr="00EA39D9">
        <w:rPr>
          <w:rFonts w:asciiTheme="minorHAnsi" w:hAnsiTheme="minorHAnsi" w:cstheme="minorHAnsi"/>
        </w:rPr>
        <w:t>Enhance students' self-esteem, confidence, communication, and assertiveness skills.</w:t>
      </w:r>
    </w:p>
    <w:p w14:paraId="0C3D7E41" w14:textId="77777777" w:rsidR="00EA39D9" w:rsidRPr="00EA39D9" w:rsidRDefault="00EA39D9" w:rsidP="00EA39D9">
      <w:pPr>
        <w:pStyle w:val="ListParagraph"/>
        <w:numPr>
          <w:ilvl w:val="0"/>
          <w:numId w:val="1"/>
        </w:numPr>
        <w:jc w:val="both"/>
        <w:rPr>
          <w:rFonts w:asciiTheme="minorHAnsi" w:hAnsiTheme="minorHAnsi" w:cstheme="minorHAnsi"/>
        </w:rPr>
      </w:pPr>
      <w:r w:rsidRPr="00EA39D9">
        <w:rPr>
          <w:rFonts w:asciiTheme="minorHAnsi" w:hAnsiTheme="minorHAnsi" w:cstheme="minorHAnsi"/>
        </w:rPr>
        <w:t>Promote healthy, loving, equal, and lasting relationships.</w:t>
      </w:r>
    </w:p>
    <w:p w14:paraId="4D28698F" w14:textId="0CBD37D8" w:rsidR="00EA39D9" w:rsidRPr="00EA39D9" w:rsidRDefault="00EA39D9" w:rsidP="00EA39D9">
      <w:pPr>
        <w:jc w:val="both"/>
        <w:rPr>
          <w:rFonts w:asciiTheme="minorHAnsi" w:hAnsiTheme="minorHAnsi" w:cstheme="minorHAnsi"/>
          <w:b/>
          <w:bCs/>
        </w:rPr>
      </w:pPr>
      <w:r w:rsidRPr="00EA39D9">
        <w:rPr>
          <w:rFonts w:asciiTheme="minorHAnsi" w:hAnsiTheme="minorHAnsi" w:cstheme="minorHAnsi"/>
          <w:b/>
          <w:bCs/>
        </w:rPr>
        <w:t>SECONDARY (Sex Education)</w:t>
      </w:r>
    </w:p>
    <w:p w14:paraId="226672C9" w14:textId="77777777" w:rsidR="00EA39D9" w:rsidRPr="00EA39D9" w:rsidRDefault="00EA39D9" w:rsidP="00EA39D9">
      <w:pPr>
        <w:pStyle w:val="ListParagraph"/>
        <w:numPr>
          <w:ilvl w:val="0"/>
          <w:numId w:val="2"/>
        </w:numPr>
        <w:jc w:val="both"/>
        <w:rPr>
          <w:rFonts w:asciiTheme="minorHAnsi" w:hAnsiTheme="minorHAnsi" w:cstheme="minorHAnsi"/>
        </w:rPr>
      </w:pPr>
      <w:r w:rsidRPr="00EA39D9">
        <w:rPr>
          <w:rFonts w:asciiTheme="minorHAnsi" w:hAnsiTheme="minorHAnsi" w:cstheme="minorHAnsi"/>
        </w:rPr>
        <w:t>Maximize safety and minimize risk.</w:t>
      </w:r>
    </w:p>
    <w:p w14:paraId="4F4E48B5" w14:textId="77777777" w:rsidR="00EA39D9" w:rsidRPr="00EA39D9" w:rsidRDefault="00EA39D9" w:rsidP="00EA39D9">
      <w:pPr>
        <w:pStyle w:val="ListParagraph"/>
        <w:numPr>
          <w:ilvl w:val="0"/>
          <w:numId w:val="2"/>
        </w:numPr>
        <w:jc w:val="both"/>
        <w:rPr>
          <w:rFonts w:asciiTheme="minorHAnsi" w:hAnsiTheme="minorHAnsi" w:cstheme="minorHAnsi"/>
        </w:rPr>
      </w:pPr>
      <w:r w:rsidRPr="00EA39D9">
        <w:rPr>
          <w:rFonts w:asciiTheme="minorHAnsi" w:hAnsiTheme="minorHAnsi" w:cstheme="minorHAnsi"/>
        </w:rPr>
        <w:t>Encourage the delay of the onset of sexual activity.</w:t>
      </w:r>
    </w:p>
    <w:p w14:paraId="094830BB" w14:textId="77777777" w:rsidR="00EA39D9" w:rsidRPr="00EA39D9" w:rsidRDefault="00EA39D9" w:rsidP="00EA39D9">
      <w:pPr>
        <w:pStyle w:val="ListParagraph"/>
        <w:numPr>
          <w:ilvl w:val="0"/>
          <w:numId w:val="2"/>
        </w:numPr>
        <w:jc w:val="both"/>
        <w:rPr>
          <w:rFonts w:asciiTheme="minorHAnsi" w:hAnsiTheme="minorHAnsi" w:cstheme="minorHAnsi"/>
        </w:rPr>
      </w:pPr>
      <w:r w:rsidRPr="00EA39D9">
        <w:rPr>
          <w:rFonts w:asciiTheme="minorHAnsi" w:hAnsiTheme="minorHAnsi" w:cstheme="minorHAnsi"/>
        </w:rPr>
        <w:t>Reduce teenage pregnancy and conception rates.</w:t>
      </w:r>
    </w:p>
    <w:p w14:paraId="31823BC5" w14:textId="77777777" w:rsidR="00EA39D9" w:rsidRPr="00EA39D9" w:rsidRDefault="00EA39D9" w:rsidP="00EA39D9">
      <w:pPr>
        <w:pStyle w:val="ListParagraph"/>
        <w:numPr>
          <w:ilvl w:val="0"/>
          <w:numId w:val="2"/>
        </w:numPr>
        <w:jc w:val="both"/>
        <w:rPr>
          <w:rFonts w:asciiTheme="minorHAnsi" w:hAnsiTheme="minorHAnsi" w:cstheme="minorHAnsi"/>
        </w:rPr>
      </w:pPr>
      <w:r w:rsidRPr="00EA39D9">
        <w:rPr>
          <w:rFonts w:asciiTheme="minorHAnsi" w:hAnsiTheme="minorHAnsi" w:cstheme="minorHAnsi"/>
        </w:rPr>
        <w:t>Lower rates of sexually transmitted infections, especially HIV/AIDS and Chlamydia.</w:t>
      </w:r>
    </w:p>
    <w:p w14:paraId="6C3BB321" w14:textId="77777777" w:rsidR="00EA39D9" w:rsidRPr="00EA39D9" w:rsidRDefault="00EA39D9" w:rsidP="00EA39D9">
      <w:pPr>
        <w:pStyle w:val="ListParagraph"/>
        <w:numPr>
          <w:ilvl w:val="0"/>
          <w:numId w:val="2"/>
        </w:numPr>
        <w:jc w:val="both"/>
        <w:rPr>
          <w:rFonts w:asciiTheme="minorHAnsi" w:hAnsiTheme="minorHAnsi" w:cstheme="minorHAnsi"/>
        </w:rPr>
      </w:pPr>
      <w:r w:rsidRPr="00EA39D9">
        <w:rPr>
          <w:rFonts w:asciiTheme="minorHAnsi" w:hAnsiTheme="minorHAnsi" w:cstheme="minorHAnsi"/>
        </w:rPr>
        <w:t>Decrease sexual activity outside of committed relationships.</w:t>
      </w:r>
    </w:p>
    <w:p w14:paraId="4953EC87" w14:textId="77777777" w:rsidR="00EA39D9" w:rsidRPr="00EA39D9" w:rsidRDefault="00EA39D9" w:rsidP="00EA39D9">
      <w:pPr>
        <w:pStyle w:val="ListParagraph"/>
        <w:numPr>
          <w:ilvl w:val="0"/>
          <w:numId w:val="2"/>
        </w:numPr>
        <w:jc w:val="both"/>
        <w:rPr>
          <w:rFonts w:asciiTheme="minorHAnsi" w:hAnsiTheme="minorHAnsi" w:cstheme="minorHAnsi"/>
        </w:rPr>
      </w:pPr>
      <w:r w:rsidRPr="00EA39D9">
        <w:rPr>
          <w:rFonts w:asciiTheme="minorHAnsi" w:hAnsiTheme="minorHAnsi" w:cstheme="minorHAnsi"/>
        </w:rPr>
        <w:t>Increase awareness of sexual health services.</w:t>
      </w:r>
    </w:p>
    <w:p w14:paraId="33A5D47B" w14:textId="77777777" w:rsidR="00EA39D9" w:rsidRPr="00EA39D9" w:rsidRDefault="00EA39D9" w:rsidP="00EA39D9">
      <w:pPr>
        <w:pStyle w:val="ListParagraph"/>
        <w:numPr>
          <w:ilvl w:val="0"/>
          <w:numId w:val="2"/>
        </w:numPr>
        <w:jc w:val="both"/>
        <w:rPr>
          <w:rFonts w:asciiTheme="minorHAnsi" w:hAnsiTheme="minorHAnsi" w:cstheme="minorHAnsi"/>
        </w:rPr>
      </w:pPr>
      <w:r w:rsidRPr="00EA39D9">
        <w:rPr>
          <w:rFonts w:asciiTheme="minorHAnsi" w:hAnsiTheme="minorHAnsi" w:cstheme="minorHAnsi"/>
        </w:rPr>
        <w:t>Raise awareness of diverse sexual orientations and identities.</w:t>
      </w:r>
    </w:p>
    <w:p w14:paraId="7BD53990" w14:textId="77777777" w:rsidR="00EA39D9" w:rsidRPr="00A73816" w:rsidRDefault="00EA39D9" w:rsidP="00EA39D9">
      <w:pPr>
        <w:jc w:val="both"/>
        <w:rPr>
          <w:rFonts w:asciiTheme="minorHAnsi" w:hAnsiTheme="minorHAnsi" w:cstheme="minorHAnsi"/>
          <w:b/>
          <w:bCs/>
        </w:rPr>
      </w:pPr>
      <w:r w:rsidRPr="00A73816">
        <w:rPr>
          <w:rFonts w:asciiTheme="minorHAnsi" w:hAnsiTheme="minorHAnsi" w:cstheme="minorHAnsi"/>
          <w:b/>
          <w:bCs/>
        </w:rPr>
        <w:t>PRIMARY AND SECONDARY</w:t>
      </w:r>
    </w:p>
    <w:p w14:paraId="56D6035D" w14:textId="3E0E4312" w:rsidR="00EA39D9" w:rsidRDefault="00EA39D9" w:rsidP="00EA39D9">
      <w:pPr>
        <w:jc w:val="both"/>
        <w:rPr>
          <w:rFonts w:asciiTheme="minorHAnsi" w:hAnsiTheme="minorHAnsi" w:cstheme="minorHAnsi"/>
        </w:rPr>
      </w:pPr>
      <w:r w:rsidRPr="00EA39D9">
        <w:rPr>
          <w:rFonts w:asciiTheme="minorHAnsi" w:hAnsiTheme="minorHAnsi" w:cstheme="minorHAnsi"/>
        </w:rPr>
        <w:t>Our RSE curriculum teaches students to embrace the diverse beliefs, cultures, religions, sexual orientations, physical and mental abilities, backgrounds, and values of their peers. We aim to empower our students to lead healthy and safe lives, encouraging them to care for and respect their bodies. We provide them with the tools to seek information or support during and after their school years.</w:t>
      </w:r>
    </w:p>
    <w:p w14:paraId="09EEC256" w14:textId="77777777" w:rsidR="007370BE" w:rsidRDefault="007370BE" w:rsidP="00B80298">
      <w:pPr>
        <w:jc w:val="both"/>
        <w:rPr>
          <w:rFonts w:asciiTheme="minorHAnsi" w:hAnsiTheme="minorHAnsi" w:cstheme="minorHAnsi"/>
          <w:b/>
          <w:bCs/>
        </w:rPr>
      </w:pPr>
    </w:p>
    <w:p w14:paraId="10BF63A7" w14:textId="668B52A7" w:rsidR="00B80298" w:rsidRPr="00B80298" w:rsidRDefault="00B80298" w:rsidP="00B80298">
      <w:pPr>
        <w:jc w:val="both"/>
        <w:rPr>
          <w:rFonts w:asciiTheme="minorHAnsi" w:hAnsiTheme="minorHAnsi" w:cstheme="minorHAnsi"/>
          <w:b/>
          <w:bCs/>
        </w:rPr>
      </w:pPr>
      <w:r w:rsidRPr="00B80298">
        <w:rPr>
          <w:rFonts w:asciiTheme="minorHAnsi" w:hAnsiTheme="minorHAnsi" w:cstheme="minorHAnsi"/>
          <w:b/>
          <w:bCs/>
        </w:rPr>
        <w:t>Confidentiality</w:t>
      </w:r>
    </w:p>
    <w:p w14:paraId="61570342" w14:textId="2B143313" w:rsidR="00B80298" w:rsidRPr="00B80298" w:rsidRDefault="00B80298" w:rsidP="00B80298">
      <w:pPr>
        <w:jc w:val="both"/>
        <w:rPr>
          <w:rFonts w:asciiTheme="minorHAnsi" w:hAnsiTheme="minorHAnsi" w:cstheme="minorHAnsi"/>
        </w:rPr>
      </w:pPr>
      <w:r w:rsidRPr="00B80298">
        <w:rPr>
          <w:rFonts w:asciiTheme="minorHAnsi" w:hAnsiTheme="minorHAnsi" w:cstheme="minorHAnsi"/>
        </w:rPr>
        <w:t>Educators and other professionals will exercise discretion and judgment when addressing sensitive issues raised by individual students. Concerning contraceptive advice for under 16-</w:t>
      </w:r>
      <w:r w:rsidRPr="00B80298">
        <w:rPr>
          <w:rFonts w:asciiTheme="minorHAnsi" w:hAnsiTheme="minorHAnsi" w:cstheme="minorHAnsi"/>
        </w:rPr>
        <w:lastRenderedPageBreak/>
        <w:t>year-olds, for whom sexual intercourse is illegal, care will be taken. Teachers cannot ensure absolute confidentiality and will encourage students to seek advice from healthcare professionals. If there is concern about a young person at risk, it will be reported to the Child Protection Officer.</w:t>
      </w:r>
    </w:p>
    <w:p w14:paraId="6224E021" w14:textId="40F8352C" w:rsidR="00B80298" w:rsidRPr="00B80298" w:rsidRDefault="00B80298" w:rsidP="00B80298">
      <w:pPr>
        <w:jc w:val="both"/>
        <w:rPr>
          <w:rFonts w:asciiTheme="minorHAnsi" w:hAnsiTheme="minorHAnsi" w:cstheme="minorHAnsi"/>
          <w:b/>
          <w:bCs/>
        </w:rPr>
      </w:pPr>
      <w:r w:rsidRPr="00B80298">
        <w:rPr>
          <w:rFonts w:asciiTheme="minorHAnsi" w:hAnsiTheme="minorHAnsi" w:cstheme="minorHAnsi"/>
          <w:b/>
          <w:bCs/>
        </w:rPr>
        <w:t>Curriculum</w:t>
      </w:r>
    </w:p>
    <w:p w14:paraId="7E556775" w14:textId="1F55EDBA" w:rsidR="00B80298" w:rsidRPr="00B80298" w:rsidRDefault="00B80298" w:rsidP="00B80298">
      <w:pPr>
        <w:jc w:val="both"/>
        <w:rPr>
          <w:rFonts w:asciiTheme="minorHAnsi" w:hAnsiTheme="minorHAnsi" w:cstheme="minorHAnsi"/>
        </w:rPr>
      </w:pPr>
      <w:r w:rsidRPr="00B80298">
        <w:rPr>
          <w:rFonts w:asciiTheme="minorHAnsi" w:hAnsiTheme="minorHAnsi" w:cstheme="minorHAnsi"/>
        </w:rPr>
        <w:t>Our curriculum has been developed in consultation with parents, students, and staff, considering the age, needs, and feelings of pupils. Teachers will respond appropriately to questions beyond the scope of this policy to ensure students are well-informed and deter seeking answers online. Primary sex education focuses on preparing children for adolescent changes and understanding conception and childbirth.</w:t>
      </w:r>
    </w:p>
    <w:p w14:paraId="2D6EFA4D" w14:textId="0D1CA796" w:rsidR="00B80298" w:rsidRPr="00B80298" w:rsidRDefault="00B80298" w:rsidP="00B80298">
      <w:pPr>
        <w:jc w:val="both"/>
        <w:rPr>
          <w:rFonts w:asciiTheme="minorHAnsi" w:hAnsiTheme="minorHAnsi" w:cstheme="minorHAnsi"/>
          <w:b/>
          <w:bCs/>
        </w:rPr>
      </w:pPr>
      <w:r w:rsidRPr="00B80298">
        <w:rPr>
          <w:rFonts w:asciiTheme="minorHAnsi" w:hAnsiTheme="minorHAnsi" w:cstheme="minorHAnsi"/>
          <w:b/>
          <w:bCs/>
        </w:rPr>
        <w:t>Delivery of RSE</w:t>
      </w:r>
    </w:p>
    <w:p w14:paraId="3120CD3D" w14:textId="1702D0F6" w:rsidR="00B80298" w:rsidRPr="00B80298" w:rsidRDefault="00B80298" w:rsidP="00B80298">
      <w:pPr>
        <w:jc w:val="both"/>
        <w:rPr>
          <w:rFonts w:asciiTheme="minorHAnsi" w:hAnsiTheme="minorHAnsi" w:cstheme="minorHAnsi"/>
        </w:rPr>
      </w:pPr>
      <w:r w:rsidRPr="00B80298">
        <w:rPr>
          <w:rFonts w:asciiTheme="minorHAnsi" w:hAnsiTheme="minorHAnsi" w:cstheme="minorHAnsi"/>
        </w:rPr>
        <w:t>RSE is integrated into the personal, social, health, and economic (PSHE) education curriculum. Biological aspects are taught in the science curriculum, and religious education (RE) includes other elements. Teaching staff will employ various strategies, emphasizing active and experiential learning to encourage student participation and boost confidence in discussing relationships and sex. Ground rules in PSHE and RSE lessons create a safe learning environment, defining appropriate behavio</w:t>
      </w:r>
      <w:r>
        <w:rPr>
          <w:rFonts w:asciiTheme="minorHAnsi" w:hAnsiTheme="minorHAnsi" w:cstheme="minorHAnsi"/>
        </w:rPr>
        <w:t>u</w:t>
      </w:r>
      <w:r w:rsidRPr="00B80298">
        <w:rPr>
          <w:rFonts w:asciiTheme="minorHAnsi" w:hAnsiTheme="minorHAnsi" w:cstheme="minorHAnsi"/>
        </w:rPr>
        <w:t>r and how to handle unexpected or embarrassing questions or comments. Students also receive standalone sex education sessions led by trained health professionals.</w:t>
      </w:r>
    </w:p>
    <w:p w14:paraId="526E61DE" w14:textId="3E8DAFF1" w:rsidR="00B80298" w:rsidRPr="00B80298" w:rsidRDefault="00B80298" w:rsidP="00B80298">
      <w:pPr>
        <w:jc w:val="both"/>
        <w:rPr>
          <w:rFonts w:asciiTheme="minorHAnsi" w:hAnsiTheme="minorHAnsi" w:cstheme="minorHAnsi"/>
          <w:b/>
          <w:bCs/>
        </w:rPr>
      </w:pPr>
      <w:r w:rsidRPr="00B80298">
        <w:rPr>
          <w:rFonts w:asciiTheme="minorHAnsi" w:hAnsiTheme="minorHAnsi" w:cstheme="minorHAnsi"/>
          <w:b/>
          <w:bCs/>
        </w:rPr>
        <w:t>Primary</w:t>
      </w:r>
    </w:p>
    <w:p w14:paraId="6BDA56B4" w14:textId="46BF4261" w:rsidR="00B80298" w:rsidRPr="00B80298" w:rsidRDefault="00B80298" w:rsidP="00B80298">
      <w:pPr>
        <w:jc w:val="both"/>
        <w:rPr>
          <w:rFonts w:asciiTheme="minorHAnsi" w:hAnsiTheme="minorHAnsi" w:cstheme="minorHAnsi"/>
        </w:rPr>
      </w:pPr>
      <w:r w:rsidRPr="00B80298">
        <w:rPr>
          <w:rFonts w:asciiTheme="minorHAnsi" w:hAnsiTheme="minorHAnsi" w:cstheme="minorHAnsi"/>
        </w:rPr>
        <w:t>Relationships education focuses on positive relationships' fundamental aspects, including families, caring friendships, respectful relationships, online relationships, and safety.</w:t>
      </w:r>
    </w:p>
    <w:p w14:paraId="323D357F" w14:textId="0A57009D" w:rsidR="00B80298" w:rsidRPr="00B80298" w:rsidRDefault="00B80298" w:rsidP="00B80298">
      <w:pPr>
        <w:jc w:val="both"/>
        <w:rPr>
          <w:rFonts w:asciiTheme="minorHAnsi" w:hAnsiTheme="minorHAnsi" w:cstheme="minorHAnsi"/>
          <w:b/>
          <w:bCs/>
        </w:rPr>
      </w:pPr>
      <w:r w:rsidRPr="00B80298">
        <w:rPr>
          <w:rFonts w:asciiTheme="minorHAnsi" w:hAnsiTheme="minorHAnsi" w:cstheme="minorHAnsi"/>
          <w:b/>
          <w:bCs/>
        </w:rPr>
        <w:t>Secondary</w:t>
      </w:r>
    </w:p>
    <w:p w14:paraId="5CA7B626" w14:textId="01CAA341" w:rsidR="00B80298" w:rsidRPr="00B80298" w:rsidRDefault="00B80298" w:rsidP="00B80298">
      <w:pPr>
        <w:jc w:val="both"/>
        <w:rPr>
          <w:rFonts w:asciiTheme="minorHAnsi" w:hAnsiTheme="minorHAnsi" w:cstheme="minorHAnsi"/>
        </w:rPr>
      </w:pPr>
      <w:r w:rsidRPr="00B80298">
        <w:rPr>
          <w:rFonts w:asciiTheme="minorHAnsi" w:hAnsiTheme="minorHAnsi" w:cstheme="minorHAnsi"/>
        </w:rPr>
        <w:t>RSE focuses on providing young people with information to cultivate healthy relationships of all types, including families, respectful relationships, online interactions, safety, intimate and sexual relationships, and sexual health. This learning is inclusive and avoids stigmatizing children based on their family circumstances.</w:t>
      </w:r>
    </w:p>
    <w:p w14:paraId="2903B5EF" w14:textId="326257AF" w:rsidR="00B80298" w:rsidRPr="00B80298" w:rsidRDefault="00B80298" w:rsidP="00B80298">
      <w:pPr>
        <w:jc w:val="both"/>
        <w:rPr>
          <w:rFonts w:asciiTheme="minorHAnsi" w:hAnsiTheme="minorHAnsi" w:cstheme="minorHAnsi"/>
          <w:b/>
          <w:bCs/>
        </w:rPr>
      </w:pPr>
      <w:r w:rsidRPr="00B80298">
        <w:rPr>
          <w:rFonts w:asciiTheme="minorHAnsi" w:hAnsiTheme="minorHAnsi" w:cstheme="minorHAnsi"/>
          <w:b/>
          <w:bCs/>
        </w:rPr>
        <w:t>Roles and Responsibilities</w:t>
      </w:r>
    </w:p>
    <w:p w14:paraId="2E2A667F" w14:textId="62A94F25" w:rsidR="00B80298" w:rsidRPr="00B80298" w:rsidRDefault="00B80298" w:rsidP="00B80298">
      <w:pPr>
        <w:jc w:val="both"/>
        <w:rPr>
          <w:rFonts w:asciiTheme="minorHAnsi" w:hAnsiTheme="minorHAnsi" w:cstheme="minorHAnsi"/>
        </w:rPr>
      </w:pPr>
      <w:r w:rsidRPr="00B80298">
        <w:rPr>
          <w:rFonts w:asciiTheme="minorHAnsi" w:hAnsiTheme="minorHAnsi" w:cstheme="minorHAnsi"/>
        </w:rPr>
        <w:t xml:space="preserve">The </w:t>
      </w:r>
      <w:r>
        <w:rPr>
          <w:rFonts w:asciiTheme="minorHAnsi" w:hAnsiTheme="minorHAnsi" w:cstheme="minorHAnsi"/>
        </w:rPr>
        <w:t>Director</w:t>
      </w:r>
      <w:r w:rsidRPr="00B80298">
        <w:rPr>
          <w:rFonts w:asciiTheme="minorHAnsi" w:hAnsiTheme="minorHAnsi" w:cstheme="minorHAnsi"/>
        </w:rPr>
        <w:t xml:space="preserve"> approves the RSE policy and ensures its implementation. The head teacher manages consistent RSE delivery across the school. Staff are responsible for sensitive RSE delivery, </w:t>
      </w:r>
      <w:r w:rsidR="00030291" w:rsidRPr="00B80298">
        <w:rPr>
          <w:rFonts w:asciiTheme="minorHAnsi" w:hAnsiTheme="minorHAnsi" w:cstheme="minorHAnsi"/>
        </w:rPr>
        <w:t>modelling</w:t>
      </w:r>
      <w:r w:rsidRPr="00B80298">
        <w:rPr>
          <w:rFonts w:asciiTheme="minorHAnsi" w:hAnsiTheme="minorHAnsi" w:cstheme="minorHAnsi"/>
        </w:rPr>
        <w:t xml:space="preserve"> positive attitudes, monitoring progress, responding to individual needs, and handling withdrawal requests. Pupils are expected to participate in RSE respectfully and responsibly, with access to confidential help from the School Nurse.</w:t>
      </w:r>
    </w:p>
    <w:p w14:paraId="15A9D570" w14:textId="77777777" w:rsidR="00030291" w:rsidRDefault="00030291" w:rsidP="00B80298">
      <w:pPr>
        <w:jc w:val="both"/>
        <w:rPr>
          <w:rFonts w:asciiTheme="minorHAnsi" w:hAnsiTheme="minorHAnsi" w:cstheme="minorHAnsi"/>
          <w:b/>
          <w:bCs/>
        </w:rPr>
      </w:pPr>
    </w:p>
    <w:p w14:paraId="2BAAD514" w14:textId="144E29E4" w:rsidR="00B80298" w:rsidRPr="00B80298" w:rsidRDefault="00B80298" w:rsidP="00B80298">
      <w:pPr>
        <w:jc w:val="both"/>
        <w:rPr>
          <w:rFonts w:asciiTheme="minorHAnsi" w:hAnsiTheme="minorHAnsi" w:cstheme="minorHAnsi"/>
          <w:b/>
          <w:bCs/>
        </w:rPr>
      </w:pPr>
      <w:r w:rsidRPr="00B80298">
        <w:rPr>
          <w:rFonts w:asciiTheme="minorHAnsi" w:hAnsiTheme="minorHAnsi" w:cstheme="minorHAnsi"/>
          <w:b/>
          <w:bCs/>
        </w:rPr>
        <w:t>Parents' Right to Withdraw</w:t>
      </w:r>
    </w:p>
    <w:p w14:paraId="3D0E778E" w14:textId="2280CD32" w:rsidR="00B80298" w:rsidRPr="00B80298" w:rsidRDefault="00B80298" w:rsidP="00B80298">
      <w:pPr>
        <w:jc w:val="both"/>
        <w:rPr>
          <w:rFonts w:asciiTheme="minorHAnsi" w:hAnsiTheme="minorHAnsi" w:cstheme="minorHAnsi"/>
        </w:rPr>
      </w:pPr>
      <w:r w:rsidRPr="00B80298">
        <w:rPr>
          <w:rFonts w:asciiTheme="minorHAnsi" w:hAnsiTheme="minorHAnsi" w:cstheme="minorHAnsi"/>
        </w:rPr>
        <w:lastRenderedPageBreak/>
        <w:t>In primary, parents can't withdraw their children from relationships education but can withdraw them from non-statutory/non-science components of sex education within RSE. In secondary, parents can withdraw their children from non-statutory/non-science components of sex education until three terms before the child turns 16. Afterward, if the child wishes to receive sex education, the school will arrange it.</w:t>
      </w:r>
    </w:p>
    <w:p w14:paraId="1F08C2B1" w14:textId="6F0D5082" w:rsidR="00B80298" w:rsidRPr="00B80298" w:rsidRDefault="00B80298" w:rsidP="00B80298">
      <w:pPr>
        <w:jc w:val="both"/>
        <w:rPr>
          <w:rFonts w:asciiTheme="minorHAnsi" w:hAnsiTheme="minorHAnsi" w:cstheme="minorHAnsi"/>
          <w:b/>
          <w:bCs/>
        </w:rPr>
      </w:pPr>
      <w:r w:rsidRPr="00B80298">
        <w:rPr>
          <w:rFonts w:asciiTheme="minorHAnsi" w:hAnsiTheme="minorHAnsi" w:cstheme="minorHAnsi"/>
          <w:b/>
          <w:bCs/>
        </w:rPr>
        <w:t>Training</w:t>
      </w:r>
    </w:p>
    <w:p w14:paraId="615BE409" w14:textId="6CD687D4" w:rsidR="00B80298" w:rsidRPr="00B80298" w:rsidRDefault="00B80298" w:rsidP="00B80298">
      <w:pPr>
        <w:jc w:val="both"/>
        <w:rPr>
          <w:rFonts w:asciiTheme="minorHAnsi" w:hAnsiTheme="minorHAnsi" w:cstheme="minorHAnsi"/>
        </w:rPr>
      </w:pPr>
      <w:r w:rsidRPr="00B80298">
        <w:rPr>
          <w:rFonts w:asciiTheme="minorHAnsi" w:hAnsiTheme="minorHAnsi" w:cstheme="minorHAnsi"/>
        </w:rPr>
        <w:t>Staff receive RSE training during induction and as part of continuing professional development. External professionals may provide additional support and training.</w:t>
      </w:r>
    </w:p>
    <w:p w14:paraId="1D482036" w14:textId="7D25D2E9" w:rsidR="00B80298" w:rsidRPr="00B80298" w:rsidRDefault="00B80298" w:rsidP="00B80298">
      <w:pPr>
        <w:jc w:val="both"/>
        <w:rPr>
          <w:rFonts w:asciiTheme="minorHAnsi" w:hAnsiTheme="minorHAnsi" w:cstheme="minorHAnsi"/>
          <w:b/>
          <w:bCs/>
        </w:rPr>
      </w:pPr>
      <w:r w:rsidRPr="00B80298">
        <w:rPr>
          <w:rFonts w:asciiTheme="minorHAnsi" w:hAnsiTheme="minorHAnsi" w:cstheme="minorHAnsi"/>
          <w:b/>
          <w:bCs/>
        </w:rPr>
        <w:t>Monitoring Arrangements</w:t>
      </w:r>
    </w:p>
    <w:p w14:paraId="7B6DED89" w14:textId="73088384" w:rsidR="00B80298" w:rsidRDefault="00B80298" w:rsidP="00B80298">
      <w:pPr>
        <w:jc w:val="both"/>
        <w:rPr>
          <w:rFonts w:asciiTheme="minorHAnsi" w:hAnsiTheme="minorHAnsi" w:cstheme="minorHAnsi"/>
        </w:rPr>
      </w:pPr>
      <w:r w:rsidRPr="00B80298">
        <w:rPr>
          <w:rFonts w:asciiTheme="minorHAnsi" w:hAnsiTheme="minorHAnsi" w:cstheme="minorHAnsi"/>
        </w:rPr>
        <w:t>The Head Teacher monitors RSE delivery, ensures staff's relevant and up-to-date knowledge, and conducts regular reviews of teaching content.</w:t>
      </w:r>
    </w:p>
    <w:p w14:paraId="131C125D" w14:textId="77777777" w:rsidR="00B80298" w:rsidRPr="00B80298" w:rsidRDefault="00B80298" w:rsidP="00B80298">
      <w:pPr>
        <w:spacing w:before="100" w:beforeAutospacing="1" w:after="100" w:afterAutospacing="1" w:line="240" w:lineRule="auto"/>
        <w:rPr>
          <w:rFonts w:ascii="Calibri" w:eastAsia="Times New Roman" w:hAnsi="Calibri" w:cs="Calibri"/>
          <w:kern w:val="0"/>
          <w:szCs w:val="24"/>
          <w:lang w:eastAsia="en-GB"/>
          <w14:ligatures w14:val="none"/>
        </w:rPr>
      </w:pPr>
      <w:bookmarkStart w:id="0" w:name="_Hlk148560665"/>
      <w:r w:rsidRPr="00B80298">
        <w:rPr>
          <w:rFonts w:ascii="Calibri" w:eastAsia="Times New Roman" w:hAnsi="Calibri" w:cs="Calibri"/>
          <w:b/>
          <w:bCs/>
          <w:kern w:val="0"/>
          <w:szCs w:val="24"/>
          <w:lang w:eastAsia="en-GB"/>
          <w14:ligatures w14:val="none"/>
        </w:rPr>
        <w:t>Policy Review</w:t>
      </w:r>
    </w:p>
    <w:p w14:paraId="36F93A39" w14:textId="77777777" w:rsidR="00B80298" w:rsidRPr="00B80298" w:rsidRDefault="00B80298" w:rsidP="00B80298">
      <w:pPr>
        <w:spacing w:before="100" w:beforeAutospacing="1" w:after="100" w:afterAutospacing="1" w:line="240" w:lineRule="auto"/>
        <w:rPr>
          <w:rFonts w:ascii="Calibri" w:eastAsia="Times New Roman" w:hAnsi="Calibri" w:cs="Calibri"/>
          <w:kern w:val="0"/>
          <w:szCs w:val="24"/>
          <w:lang w:eastAsia="en-GB"/>
          <w14:ligatures w14:val="none"/>
        </w:rPr>
      </w:pPr>
      <w:r w:rsidRPr="00B80298">
        <w:rPr>
          <w:rFonts w:ascii="Calibri" w:eastAsia="Times New Roman" w:hAnsi="Calibri" w:cs="Calibri"/>
          <w:kern w:val="0"/>
          <w:szCs w:val="24"/>
          <w:lang w:eastAsia="en-GB"/>
          <w14:ligatures w14:val="none"/>
        </w:rPr>
        <w:t>A Director will review this policy at least once a year to make any updates needed.</w:t>
      </w:r>
    </w:p>
    <w:p w14:paraId="123B7EA4" w14:textId="77777777" w:rsidR="00B80298" w:rsidRPr="00B80298" w:rsidRDefault="00B80298" w:rsidP="00B80298">
      <w:pPr>
        <w:spacing w:before="100" w:beforeAutospacing="1" w:after="100" w:afterAutospacing="1" w:line="240" w:lineRule="auto"/>
        <w:rPr>
          <w:rFonts w:ascii="Calibri" w:eastAsia="Times New Roman" w:hAnsi="Calibri" w:cs="Calibri"/>
          <w:kern w:val="0"/>
          <w:szCs w:val="24"/>
          <w:lang w:eastAsia="en-GB"/>
          <w14:ligatures w14:val="none"/>
        </w:rPr>
      </w:pPr>
      <w:r w:rsidRPr="00B80298">
        <w:rPr>
          <w:rFonts w:ascii="Calibri" w:eastAsia="Times New Roman" w:hAnsi="Calibri" w:cs="Calibri"/>
          <w:b/>
          <w:bCs/>
          <w:kern w:val="0"/>
          <w:szCs w:val="24"/>
          <w:lang w:eastAsia="en-GB"/>
          <w14:ligatures w14:val="none"/>
        </w:rPr>
        <w:t>Authorisation and Signature</w:t>
      </w:r>
    </w:p>
    <w:p w14:paraId="0F761C91" w14:textId="434DF30E" w:rsidR="00B80298" w:rsidRPr="00B80298" w:rsidRDefault="00B80298" w:rsidP="00B80298">
      <w:pPr>
        <w:spacing w:before="100" w:beforeAutospacing="1" w:after="100" w:afterAutospacing="1" w:line="240" w:lineRule="auto"/>
        <w:rPr>
          <w:rFonts w:ascii="Calibri" w:eastAsia="Times New Roman" w:hAnsi="Calibri" w:cs="Calibri"/>
          <w:kern w:val="0"/>
          <w:szCs w:val="24"/>
          <w:lang w:eastAsia="en-GB"/>
          <w14:ligatures w14:val="none"/>
        </w:rPr>
      </w:pPr>
      <w:r w:rsidRPr="00B80298">
        <w:rPr>
          <w:rFonts w:ascii="Calibri" w:eastAsia="Times New Roman" w:hAnsi="Calibri" w:cs="Calibri"/>
          <w:kern w:val="0"/>
          <w:szCs w:val="24"/>
          <w:lang w:eastAsia="en-GB"/>
          <w14:ligatures w14:val="none"/>
        </w:rPr>
        <w:t xml:space="preserve">This Policy is the authorised version agreed by the Directors of </w:t>
      </w:r>
      <w:r w:rsidR="00030291">
        <w:rPr>
          <w:rFonts w:ascii="Calibri" w:eastAsia="Times New Roman" w:hAnsi="Calibri" w:cs="Calibri"/>
          <w:kern w:val="0"/>
          <w:szCs w:val="24"/>
          <w:lang w:eastAsia="en-GB"/>
          <w14:ligatures w14:val="none"/>
        </w:rPr>
        <w:t>Relief Caring School</w:t>
      </w:r>
      <w:r w:rsidRPr="00B80298">
        <w:rPr>
          <w:rFonts w:ascii="Calibri" w:eastAsia="Times New Roman" w:hAnsi="Calibri" w:cs="Calibri"/>
          <w:kern w:val="0"/>
          <w:szCs w:val="24"/>
          <w:lang w:eastAsia="en-GB"/>
          <w14:ligatures w14:val="none"/>
        </w:rPr>
        <w:t>.</w:t>
      </w:r>
    </w:p>
    <w:p w14:paraId="4132A8FD" w14:textId="77777777" w:rsidR="00B80298" w:rsidRPr="00B80298" w:rsidRDefault="00B80298" w:rsidP="00B80298">
      <w:pPr>
        <w:spacing w:before="100" w:beforeAutospacing="1" w:after="100" w:afterAutospacing="1" w:line="240" w:lineRule="auto"/>
        <w:rPr>
          <w:rFonts w:ascii="Calibri" w:eastAsia="Times New Roman" w:hAnsi="Calibri" w:cs="Calibri"/>
          <w:kern w:val="0"/>
          <w:szCs w:val="24"/>
          <w:lang w:eastAsia="en-GB"/>
          <w14:ligatures w14:val="none"/>
        </w:rPr>
      </w:pPr>
      <w:r w:rsidRPr="00B80298">
        <w:rPr>
          <w:rFonts w:ascii="Calibri" w:eastAsia="Times New Roman" w:hAnsi="Calibri" w:cs="Calibri"/>
          <w:kern w:val="0"/>
          <w:szCs w:val="24"/>
          <w:lang w:eastAsia="en-GB"/>
          <w14:ligatures w14:val="none"/>
        </w:rPr>
        <w:t>All employees are expected to follow this policy and failure to do so could result in disciplinary action.</w:t>
      </w:r>
    </w:p>
    <w:p w14:paraId="57706CBF" w14:textId="30E55E44" w:rsidR="00B80298" w:rsidRPr="00030291" w:rsidRDefault="00B80298" w:rsidP="00B80298">
      <w:pPr>
        <w:spacing w:before="100" w:beforeAutospacing="1" w:after="100" w:afterAutospacing="1" w:line="240" w:lineRule="auto"/>
        <w:rPr>
          <w:rFonts w:ascii="Calibri" w:eastAsia="Times New Roman" w:hAnsi="Calibri" w:cs="Calibri"/>
          <w:kern w:val="0"/>
          <w:sz w:val="28"/>
          <w:szCs w:val="28"/>
          <w:lang w:eastAsia="en-GB"/>
          <w14:ligatures w14:val="none"/>
        </w:rPr>
      </w:pPr>
      <w:r w:rsidRPr="00B80298">
        <w:rPr>
          <w:rFonts w:ascii="Calibri" w:eastAsia="Times New Roman" w:hAnsi="Calibri" w:cs="Calibri"/>
          <w:noProof/>
          <w:kern w:val="0"/>
          <w:sz w:val="28"/>
          <w:szCs w:val="28"/>
          <w:lang w:eastAsia="en-GB"/>
          <w14:ligatures w14:val="none"/>
        </w:rPr>
        <w:drawing>
          <wp:inline distT="0" distB="0" distL="0" distR="0" wp14:anchorId="5AFE40C4" wp14:editId="6707869A">
            <wp:extent cx="733425" cy="400050"/>
            <wp:effectExtent l="0" t="0" r="0" b="0"/>
            <wp:docPr id="1" name="signature_img_path" descr="signature_img_path"/>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ignature_img_path" descr="signature_img_path"/>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733425" cy="400050"/>
                    </a:xfrm>
                    <a:prstGeom prst="rect">
                      <a:avLst/>
                    </a:prstGeom>
                    <a:noFill/>
                    <a:ln>
                      <a:noFill/>
                    </a:ln>
                  </pic:spPr>
                </pic:pic>
              </a:graphicData>
            </a:graphic>
          </wp:inline>
        </w:drawing>
      </w:r>
    </w:p>
    <w:p w14:paraId="0F08CE54" w14:textId="77777777" w:rsidR="00B80298" w:rsidRPr="00B80298" w:rsidRDefault="00B80298" w:rsidP="00B80298">
      <w:pPr>
        <w:spacing w:before="100" w:beforeAutospacing="1" w:after="100" w:afterAutospacing="1" w:line="240" w:lineRule="auto"/>
        <w:rPr>
          <w:rFonts w:ascii="Calibri" w:eastAsia="Times New Roman" w:hAnsi="Calibri" w:cs="Calibri"/>
          <w:kern w:val="0"/>
          <w:sz w:val="28"/>
          <w:szCs w:val="28"/>
          <w:lang w:eastAsia="en-GB"/>
          <w14:ligatures w14:val="none"/>
        </w:rPr>
      </w:pPr>
      <w:r w:rsidRPr="00B80298">
        <w:rPr>
          <w:rFonts w:ascii="Calibri" w:eastAsia="Times New Roman" w:hAnsi="Calibri" w:cs="Calibri"/>
          <w:kern w:val="0"/>
          <w:szCs w:val="24"/>
          <w:lang w:eastAsia="en-GB"/>
          <w14:ligatures w14:val="none"/>
        </w:rPr>
        <w:t>Director</w:t>
      </w:r>
    </w:p>
    <w:p w14:paraId="5CB269AB" w14:textId="60A7F47D" w:rsidR="00B80298" w:rsidRPr="00B80298" w:rsidRDefault="00B80298" w:rsidP="00B80298">
      <w:pPr>
        <w:spacing w:before="100" w:beforeAutospacing="1" w:after="100" w:afterAutospacing="1" w:line="240" w:lineRule="auto"/>
        <w:rPr>
          <w:rFonts w:ascii="Calibri" w:eastAsia="Times New Roman" w:hAnsi="Calibri" w:cs="Calibri"/>
          <w:b/>
          <w:bCs/>
          <w:kern w:val="0"/>
          <w:sz w:val="28"/>
          <w:szCs w:val="28"/>
          <w:lang w:eastAsia="en-GB"/>
          <w14:ligatures w14:val="none"/>
        </w:rPr>
      </w:pPr>
      <w:r w:rsidRPr="00B80298">
        <w:rPr>
          <w:rFonts w:ascii="Calibri" w:eastAsia="Times New Roman" w:hAnsi="Calibri" w:cs="Calibri"/>
          <w:b/>
          <w:bCs/>
          <w:kern w:val="0"/>
          <w:sz w:val="28"/>
          <w:szCs w:val="28"/>
          <w:lang w:eastAsia="en-GB"/>
          <w14:ligatures w14:val="none"/>
        </w:rPr>
        <w:t>Revision History</w:t>
      </w:r>
    </w:p>
    <w:tbl>
      <w:tblPr>
        <w:tblW w:w="8930" w:type="dxa"/>
        <w:tblBorders>
          <w:top w:val="single" w:sz="8" w:space="0" w:color="365F91"/>
          <w:left w:val="single" w:sz="8" w:space="0" w:color="365F91"/>
          <w:bottom w:val="single" w:sz="8" w:space="0" w:color="365F91"/>
          <w:right w:val="single" w:sz="8" w:space="0" w:color="365F91"/>
          <w:insideH w:val="single" w:sz="8" w:space="0" w:color="365F91"/>
          <w:insideV w:val="single" w:sz="8" w:space="0" w:color="365F91"/>
        </w:tblBorders>
        <w:tblLayout w:type="fixed"/>
        <w:tblLook w:val="0000" w:firstRow="0" w:lastRow="0" w:firstColumn="0" w:lastColumn="0" w:noHBand="0" w:noVBand="0"/>
      </w:tblPr>
      <w:tblGrid>
        <w:gridCol w:w="1552"/>
        <w:gridCol w:w="1425"/>
        <w:gridCol w:w="4252"/>
        <w:gridCol w:w="1701"/>
      </w:tblGrid>
      <w:tr w:rsidR="00B80298" w:rsidRPr="00B80298" w14:paraId="61BCD334" w14:textId="77777777" w:rsidTr="00AD3076">
        <w:trPr>
          <w:cantSplit/>
          <w:trHeight w:val="393"/>
          <w:tblHeader/>
        </w:trPr>
        <w:tc>
          <w:tcPr>
            <w:tcW w:w="1552" w:type="dxa"/>
            <w:vAlign w:val="center"/>
          </w:tcPr>
          <w:p w14:paraId="438CAAE0" w14:textId="77777777" w:rsidR="00B80298" w:rsidRPr="00B80298" w:rsidRDefault="00B80298" w:rsidP="00B80298">
            <w:pPr>
              <w:spacing w:after="0" w:line="360" w:lineRule="auto"/>
              <w:rPr>
                <w:rFonts w:ascii="Cambria" w:eastAsia="Calibri" w:hAnsi="Cambria" w:cs="Times New Roman"/>
                <w:b/>
                <w:bCs/>
                <w:color w:val="000000"/>
                <w:kern w:val="0"/>
                <w:szCs w:val="24"/>
                <w14:ligatures w14:val="none"/>
              </w:rPr>
            </w:pPr>
            <w:r w:rsidRPr="00B80298">
              <w:rPr>
                <w:rFonts w:ascii="Cambria" w:eastAsia="Calibri" w:hAnsi="Cambria" w:cs="Times New Roman"/>
                <w:b/>
                <w:bCs/>
                <w:color w:val="000000"/>
                <w:kern w:val="0"/>
                <w:szCs w:val="24"/>
                <w14:ligatures w14:val="none"/>
              </w:rPr>
              <w:t>Version no.</w:t>
            </w:r>
          </w:p>
        </w:tc>
        <w:tc>
          <w:tcPr>
            <w:tcW w:w="1425" w:type="dxa"/>
            <w:vAlign w:val="center"/>
          </w:tcPr>
          <w:p w14:paraId="0684207B" w14:textId="77777777" w:rsidR="00B80298" w:rsidRPr="00B80298" w:rsidRDefault="00B80298" w:rsidP="00B80298">
            <w:pPr>
              <w:spacing w:after="0" w:line="360" w:lineRule="auto"/>
              <w:rPr>
                <w:rFonts w:ascii="Cambria" w:eastAsia="Calibri" w:hAnsi="Cambria" w:cs="Times New Roman"/>
                <w:b/>
                <w:bCs/>
                <w:color w:val="000000"/>
                <w:kern w:val="0"/>
                <w:szCs w:val="24"/>
                <w14:ligatures w14:val="none"/>
              </w:rPr>
            </w:pPr>
            <w:r w:rsidRPr="00B80298">
              <w:rPr>
                <w:rFonts w:ascii="Cambria" w:eastAsia="Calibri" w:hAnsi="Cambria" w:cs="Times New Roman"/>
                <w:b/>
                <w:bCs/>
                <w:color w:val="000000"/>
                <w:kern w:val="0"/>
                <w:szCs w:val="24"/>
                <w14:ligatures w14:val="none"/>
              </w:rPr>
              <w:t>Effective</w:t>
            </w:r>
            <w:r w:rsidRPr="00B80298">
              <w:rPr>
                <w:rFonts w:ascii="Cambria" w:eastAsia="Calibri" w:hAnsi="Cambria" w:cs="Times New Roman"/>
                <w:b/>
                <w:bCs/>
                <w:color w:val="000000"/>
                <w:kern w:val="0"/>
                <w:szCs w:val="24"/>
                <w14:ligatures w14:val="none"/>
              </w:rPr>
              <w:br/>
              <w:t>Date</w:t>
            </w:r>
          </w:p>
        </w:tc>
        <w:tc>
          <w:tcPr>
            <w:tcW w:w="4252" w:type="dxa"/>
            <w:vAlign w:val="center"/>
          </w:tcPr>
          <w:p w14:paraId="15DEBEA4" w14:textId="77777777" w:rsidR="00B80298" w:rsidRPr="00B80298" w:rsidRDefault="00B80298" w:rsidP="00B80298">
            <w:pPr>
              <w:spacing w:after="0" w:line="360" w:lineRule="auto"/>
              <w:rPr>
                <w:rFonts w:ascii="Cambria" w:eastAsia="Calibri" w:hAnsi="Cambria" w:cs="Times New Roman"/>
                <w:b/>
                <w:bCs/>
                <w:color w:val="000000"/>
                <w:kern w:val="0"/>
                <w:szCs w:val="24"/>
                <w14:ligatures w14:val="none"/>
              </w:rPr>
            </w:pPr>
            <w:r w:rsidRPr="00B80298">
              <w:rPr>
                <w:rFonts w:ascii="Cambria" w:eastAsia="Calibri" w:hAnsi="Cambria" w:cs="Times New Roman"/>
                <w:b/>
                <w:bCs/>
                <w:color w:val="000000"/>
                <w:kern w:val="0"/>
                <w:szCs w:val="24"/>
                <w14:ligatures w14:val="none"/>
              </w:rPr>
              <w:t>Significant Changes</w:t>
            </w:r>
          </w:p>
        </w:tc>
        <w:tc>
          <w:tcPr>
            <w:tcW w:w="1701" w:type="dxa"/>
            <w:vAlign w:val="center"/>
          </w:tcPr>
          <w:p w14:paraId="1D4456A6" w14:textId="77777777" w:rsidR="00B80298" w:rsidRPr="00B80298" w:rsidRDefault="00B80298" w:rsidP="00B80298">
            <w:pPr>
              <w:spacing w:after="0" w:line="360" w:lineRule="auto"/>
              <w:rPr>
                <w:rFonts w:ascii="Cambria" w:eastAsia="Calibri" w:hAnsi="Cambria" w:cs="Times New Roman"/>
                <w:b/>
                <w:bCs/>
                <w:color w:val="000000"/>
                <w:kern w:val="0"/>
                <w:szCs w:val="24"/>
                <w14:ligatures w14:val="none"/>
              </w:rPr>
            </w:pPr>
            <w:r w:rsidRPr="00B80298">
              <w:rPr>
                <w:rFonts w:ascii="Cambria" w:eastAsia="Calibri" w:hAnsi="Cambria" w:cs="Times New Roman"/>
                <w:b/>
                <w:bCs/>
                <w:color w:val="000000"/>
                <w:kern w:val="0"/>
                <w:szCs w:val="24"/>
                <w14:ligatures w14:val="none"/>
              </w:rPr>
              <w:t>Previous</w:t>
            </w:r>
            <w:r w:rsidRPr="00B80298">
              <w:rPr>
                <w:rFonts w:ascii="Cambria" w:eastAsia="Calibri" w:hAnsi="Cambria" w:cs="Times New Roman"/>
                <w:b/>
                <w:bCs/>
                <w:color w:val="000000"/>
                <w:kern w:val="0"/>
                <w:szCs w:val="24"/>
                <w14:ligatures w14:val="none"/>
              </w:rPr>
              <w:br/>
              <w:t>Version no.</w:t>
            </w:r>
          </w:p>
        </w:tc>
      </w:tr>
      <w:tr w:rsidR="00B80298" w:rsidRPr="00B80298" w14:paraId="40C00262" w14:textId="77777777" w:rsidTr="00AD3076">
        <w:trPr>
          <w:cantSplit/>
          <w:trHeight w:val="397"/>
        </w:trPr>
        <w:tc>
          <w:tcPr>
            <w:tcW w:w="1552" w:type="dxa"/>
            <w:vAlign w:val="center"/>
          </w:tcPr>
          <w:p w14:paraId="23FF54DF" w14:textId="77777777" w:rsidR="00B80298" w:rsidRPr="00B80298" w:rsidRDefault="00B80298" w:rsidP="00B80298">
            <w:pPr>
              <w:spacing w:after="0" w:line="360" w:lineRule="auto"/>
              <w:rPr>
                <w:rFonts w:ascii="Cambria" w:eastAsia="Calibri" w:hAnsi="Cambria" w:cs="Times New Roman"/>
                <w:b/>
                <w:bCs/>
                <w:color w:val="1F497D"/>
                <w:kern w:val="0"/>
                <w:szCs w:val="24"/>
                <w14:ligatures w14:val="none"/>
              </w:rPr>
            </w:pPr>
          </w:p>
        </w:tc>
        <w:tc>
          <w:tcPr>
            <w:tcW w:w="1425" w:type="dxa"/>
            <w:vAlign w:val="center"/>
          </w:tcPr>
          <w:p w14:paraId="1567C6D5" w14:textId="77777777" w:rsidR="00B80298" w:rsidRPr="00B80298" w:rsidRDefault="00B80298" w:rsidP="00B80298">
            <w:pPr>
              <w:spacing w:after="0" w:line="360" w:lineRule="auto"/>
              <w:rPr>
                <w:rFonts w:ascii="Cambria" w:eastAsia="Calibri" w:hAnsi="Cambria" w:cs="Times New Roman"/>
                <w:b/>
                <w:bCs/>
                <w:color w:val="1F497D"/>
                <w:kern w:val="0"/>
                <w:szCs w:val="24"/>
                <w14:ligatures w14:val="none"/>
              </w:rPr>
            </w:pPr>
          </w:p>
        </w:tc>
        <w:tc>
          <w:tcPr>
            <w:tcW w:w="4252" w:type="dxa"/>
            <w:vAlign w:val="center"/>
          </w:tcPr>
          <w:p w14:paraId="4943885C" w14:textId="77777777" w:rsidR="00B80298" w:rsidRPr="00B80298" w:rsidRDefault="00B80298" w:rsidP="00B80298">
            <w:pPr>
              <w:spacing w:after="0" w:line="360" w:lineRule="auto"/>
              <w:rPr>
                <w:rFonts w:ascii="Cambria" w:eastAsia="Calibri" w:hAnsi="Cambria" w:cs="Times New Roman"/>
                <w:b/>
                <w:bCs/>
                <w:color w:val="1F497D"/>
                <w:kern w:val="0"/>
                <w:szCs w:val="24"/>
                <w14:ligatures w14:val="none"/>
              </w:rPr>
            </w:pPr>
          </w:p>
        </w:tc>
        <w:tc>
          <w:tcPr>
            <w:tcW w:w="1701" w:type="dxa"/>
            <w:vAlign w:val="center"/>
          </w:tcPr>
          <w:p w14:paraId="3ED306FE" w14:textId="77777777" w:rsidR="00B80298" w:rsidRPr="00B80298" w:rsidRDefault="00B80298" w:rsidP="00B80298">
            <w:pPr>
              <w:spacing w:after="0" w:line="360" w:lineRule="auto"/>
              <w:rPr>
                <w:rFonts w:ascii="Cambria" w:eastAsia="Calibri" w:hAnsi="Cambria" w:cs="Times New Roman"/>
                <w:b/>
                <w:bCs/>
                <w:color w:val="1F497D"/>
                <w:kern w:val="0"/>
                <w:szCs w:val="24"/>
                <w14:ligatures w14:val="none"/>
              </w:rPr>
            </w:pPr>
          </w:p>
        </w:tc>
      </w:tr>
      <w:tr w:rsidR="00B80298" w:rsidRPr="00B80298" w14:paraId="1DC5C8FD" w14:textId="77777777" w:rsidTr="00AD3076">
        <w:trPr>
          <w:cantSplit/>
          <w:trHeight w:val="397"/>
        </w:trPr>
        <w:tc>
          <w:tcPr>
            <w:tcW w:w="1552" w:type="dxa"/>
            <w:vAlign w:val="center"/>
          </w:tcPr>
          <w:p w14:paraId="212847B7" w14:textId="77777777" w:rsidR="00B80298" w:rsidRPr="00B80298" w:rsidRDefault="00B80298" w:rsidP="00B80298">
            <w:pPr>
              <w:spacing w:after="0" w:line="360" w:lineRule="auto"/>
              <w:rPr>
                <w:rFonts w:ascii="Cambria" w:eastAsia="Calibri" w:hAnsi="Cambria" w:cs="Times New Roman"/>
                <w:b/>
                <w:bCs/>
                <w:color w:val="1F497D"/>
                <w:kern w:val="0"/>
                <w:szCs w:val="24"/>
                <w14:ligatures w14:val="none"/>
              </w:rPr>
            </w:pPr>
          </w:p>
        </w:tc>
        <w:tc>
          <w:tcPr>
            <w:tcW w:w="1425" w:type="dxa"/>
            <w:vAlign w:val="center"/>
          </w:tcPr>
          <w:p w14:paraId="2153F05A" w14:textId="77777777" w:rsidR="00B80298" w:rsidRPr="00B80298" w:rsidRDefault="00B80298" w:rsidP="00B80298">
            <w:pPr>
              <w:spacing w:after="0" w:line="360" w:lineRule="auto"/>
              <w:rPr>
                <w:rFonts w:ascii="Cambria" w:eastAsia="Calibri" w:hAnsi="Cambria" w:cs="Times New Roman"/>
                <w:b/>
                <w:bCs/>
                <w:color w:val="1F497D"/>
                <w:kern w:val="0"/>
                <w:szCs w:val="24"/>
                <w14:ligatures w14:val="none"/>
              </w:rPr>
            </w:pPr>
          </w:p>
        </w:tc>
        <w:tc>
          <w:tcPr>
            <w:tcW w:w="4252" w:type="dxa"/>
            <w:vAlign w:val="center"/>
          </w:tcPr>
          <w:p w14:paraId="2C38815E" w14:textId="77777777" w:rsidR="00B80298" w:rsidRPr="00B80298" w:rsidRDefault="00B80298" w:rsidP="00B80298">
            <w:pPr>
              <w:spacing w:after="0" w:line="360" w:lineRule="auto"/>
              <w:rPr>
                <w:rFonts w:ascii="Cambria" w:eastAsia="Calibri" w:hAnsi="Cambria" w:cs="Times New Roman"/>
                <w:b/>
                <w:bCs/>
                <w:color w:val="1F497D"/>
                <w:kern w:val="0"/>
                <w:szCs w:val="24"/>
                <w14:ligatures w14:val="none"/>
              </w:rPr>
            </w:pPr>
          </w:p>
        </w:tc>
        <w:tc>
          <w:tcPr>
            <w:tcW w:w="1701" w:type="dxa"/>
            <w:vAlign w:val="center"/>
          </w:tcPr>
          <w:p w14:paraId="0EC7B05E" w14:textId="77777777" w:rsidR="00B80298" w:rsidRPr="00B80298" w:rsidRDefault="00B80298" w:rsidP="00B80298">
            <w:pPr>
              <w:spacing w:after="0" w:line="360" w:lineRule="auto"/>
              <w:rPr>
                <w:rFonts w:ascii="Cambria" w:eastAsia="Calibri" w:hAnsi="Cambria" w:cs="Times New Roman"/>
                <w:b/>
                <w:bCs/>
                <w:color w:val="1F497D"/>
                <w:kern w:val="0"/>
                <w:szCs w:val="24"/>
                <w14:ligatures w14:val="none"/>
              </w:rPr>
            </w:pPr>
          </w:p>
        </w:tc>
      </w:tr>
      <w:tr w:rsidR="00B80298" w:rsidRPr="00B80298" w14:paraId="665DE1F3" w14:textId="77777777" w:rsidTr="00AD3076">
        <w:trPr>
          <w:cantSplit/>
          <w:trHeight w:val="397"/>
        </w:trPr>
        <w:tc>
          <w:tcPr>
            <w:tcW w:w="1552" w:type="dxa"/>
            <w:vAlign w:val="center"/>
          </w:tcPr>
          <w:p w14:paraId="47BC4649" w14:textId="77777777" w:rsidR="00B80298" w:rsidRPr="00B80298" w:rsidRDefault="00B80298" w:rsidP="00B80298">
            <w:pPr>
              <w:spacing w:after="0" w:line="360" w:lineRule="auto"/>
              <w:rPr>
                <w:rFonts w:ascii="Cambria" w:eastAsia="Calibri" w:hAnsi="Cambria" w:cs="Times New Roman"/>
                <w:b/>
                <w:bCs/>
                <w:color w:val="1F497D"/>
                <w:kern w:val="0"/>
                <w:szCs w:val="24"/>
                <w14:ligatures w14:val="none"/>
              </w:rPr>
            </w:pPr>
          </w:p>
        </w:tc>
        <w:tc>
          <w:tcPr>
            <w:tcW w:w="1425" w:type="dxa"/>
            <w:vAlign w:val="center"/>
          </w:tcPr>
          <w:p w14:paraId="1CE13716" w14:textId="77777777" w:rsidR="00B80298" w:rsidRPr="00B80298" w:rsidRDefault="00B80298" w:rsidP="00B80298">
            <w:pPr>
              <w:spacing w:after="0" w:line="360" w:lineRule="auto"/>
              <w:rPr>
                <w:rFonts w:ascii="Cambria" w:eastAsia="Calibri" w:hAnsi="Cambria" w:cs="Times New Roman"/>
                <w:b/>
                <w:bCs/>
                <w:color w:val="1F497D"/>
                <w:kern w:val="0"/>
                <w:szCs w:val="24"/>
                <w14:ligatures w14:val="none"/>
              </w:rPr>
            </w:pPr>
          </w:p>
        </w:tc>
        <w:tc>
          <w:tcPr>
            <w:tcW w:w="4252" w:type="dxa"/>
            <w:vAlign w:val="center"/>
          </w:tcPr>
          <w:p w14:paraId="070B154C" w14:textId="77777777" w:rsidR="00B80298" w:rsidRPr="00B80298" w:rsidRDefault="00B80298" w:rsidP="00B80298">
            <w:pPr>
              <w:spacing w:after="0" w:line="360" w:lineRule="auto"/>
              <w:rPr>
                <w:rFonts w:ascii="Cambria" w:eastAsia="Calibri" w:hAnsi="Cambria" w:cs="Times New Roman"/>
                <w:b/>
                <w:bCs/>
                <w:color w:val="1F497D"/>
                <w:kern w:val="0"/>
                <w:szCs w:val="24"/>
                <w14:ligatures w14:val="none"/>
              </w:rPr>
            </w:pPr>
          </w:p>
        </w:tc>
        <w:tc>
          <w:tcPr>
            <w:tcW w:w="1701" w:type="dxa"/>
            <w:vAlign w:val="center"/>
          </w:tcPr>
          <w:p w14:paraId="4F3CB0F7" w14:textId="77777777" w:rsidR="00B80298" w:rsidRPr="00B80298" w:rsidRDefault="00B80298" w:rsidP="00B80298">
            <w:pPr>
              <w:spacing w:after="0" w:line="360" w:lineRule="auto"/>
              <w:rPr>
                <w:rFonts w:ascii="Cambria" w:eastAsia="Calibri" w:hAnsi="Cambria" w:cs="Times New Roman"/>
                <w:b/>
                <w:bCs/>
                <w:color w:val="1F497D"/>
                <w:kern w:val="0"/>
                <w:szCs w:val="24"/>
                <w14:ligatures w14:val="none"/>
              </w:rPr>
            </w:pPr>
          </w:p>
        </w:tc>
      </w:tr>
      <w:bookmarkEnd w:id="0"/>
    </w:tbl>
    <w:p w14:paraId="0961B783" w14:textId="6A5E364F" w:rsidR="00B80298" w:rsidRPr="00EA39D9" w:rsidRDefault="00B80298" w:rsidP="00B80298">
      <w:pPr>
        <w:jc w:val="both"/>
        <w:rPr>
          <w:rFonts w:asciiTheme="minorHAnsi" w:hAnsiTheme="minorHAnsi" w:cstheme="minorHAnsi"/>
        </w:rPr>
      </w:pPr>
    </w:p>
    <w:sectPr w:rsidR="00B80298" w:rsidRPr="00EA39D9" w:rsidSect="007B43D0">
      <w:headerReference w:type="default" r:id="rId8"/>
      <w:pgSz w:w="11906" w:h="16838"/>
      <w:pgMar w:top="1440" w:right="1440" w:bottom="1440" w:left="1440" w:header="1417"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7B1A1A5" w14:textId="77777777" w:rsidR="00734900" w:rsidRDefault="00734900" w:rsidP="00B80298">
      <w:pPr>
        <w:spacing w:after="0" w:line="240" w:lineRule="auto"/>
      </w:pPr>
      <w:r>
        <w:separator/>
      </w:r>
    </w:p>
  </w:endnote>
  <w:endnote w:type="continuationSeparator" w:id="0">
    <w:p w14:paraId="2CAF0F86" w14:textId="77777777" w:rsidR="00734900" w:rsidRDefault="00734900" w:rsidP="00B8029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DF6CA25" w14:textId="77777777" w:rsidR="00734900" w:rsidRDefault="00734900" w:rsidP="00B80298">
      <w:pPr>
        <w:spacing w:after="0" w:line="240" w:lineRule="auto"/>
      </w:pPr>
      <w:r>
        <w:separator/>
      </w:r>
    </w:p>
  </w:footnote>
  <w:footnote w:type="continuationSeparator" w:id="0">
    <w:p w14:paraId="3CA4FB94" w14:textId="77777777" w:rsidR="00734900" w:rsidRDefault="00734900" w:rsidP="00B8029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B075DD4" w14:textId="7CC85E22" w:rsidR="00B80298" w:rsidRDefault="007B43D0">
    <w:pPr>
      <w:pStyle w:val="Header"/>
    </w:pPr>
    <w:r>
      <w:rPr>
        <w:noProof/>
      </w:rPr>
      <w:drawing>
        <wp:anchor distT="0" distB="0" distL="114300" distR="114300" simplePos="0" relativeHeight="251658240" behindDoc="1" locked="0" layoutInCell="1" allowOverlap="1" wp14:anchorId="2DD04AFE" wp14:editId="11412517">
          <wp:simplePos x="0" y="0"/>
          <wp:positionH relativeFrom="column">
            <wp:posOffset>-906780</wp:posOffset>
          </wp:positionH>
          <wp:positionV relativeFrom="paragraph">
            <wp:posOffset>-1348740</wp:posOffset>
          </wp:positionV>
          <wp:extent cx="7864764" cy="10180800"/>
          <wp:effectExtent l="0" t="0" r="3175" b="0"/>
          <wp:wrapNone/>
          <wp:docPr id="1585623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856239" name="Picture 15856239"/>
                  <pic:cNvPicPr/>
                </pic:nvPicPr>
                <pic:blipFill>
                  <a:blip r:embed="rId1">
                    <a:extLst>
                      <a:ext uri="{28A0092B-C50C-407E-A947-70E740481C1C}">
                        <a14:useLocalDpi xmlns:a14="http://schemas.microsoft.com/office/drawing/2010/main" val="0"/>
                      </a:ext>
                    </a:extLst>
                  </a:blip>
                  <a:stretch>
                    <a:fillRect/>
                  </a:stretch>
                </pic:blipFill>
                <pic:spPr>
                  <a:xfrm>
                    <a:off x="0" y="0"/>
                    <a:ext cx="7864764" cy="10180800"/>
                  </a:xfrm>
                  <a:prstGeom prst="rect">
                    <a:avLst/>
                  </a:prstGeom>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6445E7B"/>
    <w:multiLevelType w:val="hybridMultilevel"/>
    <w:tmpl w:val="8C76159A"/>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1" w15:restartNumberingAfterBreak="0">
    <w:nsid w:val="25567E93"/>
    <w:multiLevelType w:val="hybridMultilevel"/>
    <w:tmpl w:val="2C760DD0"/>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2" w15:restartNumberingAfterBreak="0">
    <w:nsid w:val="454E74BC"/>
    <w:multiLevelType w:val="hybridMultilevel"/>
    <w:tmpl w:val="75BC2B7E"/>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3" w15:restartNumberingAfterBreak="0">
    <w:nsid w:val="54B45504"/>
    <w:multiLevelType w:val="hybridMultilevel"/>
    <w:tmpl w:val="A34885B8"/>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num w:numId="1" w16cid:durableId="12539685">
    <w:abstractNumId w:val="1"/>
  </w:num>
  <w:num w:numId="2" w16cid:durableId="89473972">
    <w:abstractNumId w:val="3"/>
  </w:num>
  <w:num w:numId="3" w16cid:durableId="1616401527">
    <w:abstractNumId w:val="0"/>
  </w:num>
  <w:num w:numId="4" w16cid:durableId="153511600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2MTI0trA0NjI1NDQ1MDBQ0lEKTi0uzszPAykwrAUAeNwpvCwAAAA="/>
  </w:docVars>
  <w:rsids>
    <w:rsidRoot w:val="00EA39D9"/>
    <w:rsid w:val="00030291"/>
    <w:rsid w:val="00300057"/>
    <w:rsid w:val="00311F70"/>
    <w:rsid w:val="00734900"/>
    <w:rsid w:val="007370BE"/>
    <w:rsid w:val="007B43D0"/>
    <w:rsid w:val="00804BDC"/>
    <w:rsid w:val="008A5CF9"/>
    <w:rsid w:val="009127A9"/>
    <w:rsid w:val="00967F3F"/>
    <w:rsid w:val="00A73816"/>
    <w:rsid w:val="00AB267F"/>
    <w:rsid w:val="00B80298"/>
    <w:rsid w:val="00D76FF3"/>
    <w:rsid w:val="00EA39D9"/>
    <w:rsid w:val="00F31F0F"/>
  </w:rsids>
  <m:mathPr>
    <m:mathFont m:val="Cambria Math"/>
    <m:brkBin m:val="before"/>
    <m:brkBinSub m:val="--"/>
    <m:smallFrac m:val="0"/>
    <m:dispDef/>
    <m:lMargin m:val="0"/>
    <m:rMargin m:val="0"/>
    <m:defJc m:val="centerGroup"/>
    <m:wrapIndent m:val="1440"/>
    <m:intLim m:val="subSup"/>
    <m:naryLim m:val="undOvr"/>
  </m:mathPr>
  <w:themeFontLang w:val="en-GB"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DCC3BFB"/>
  <w15:chartTrackingRefBased/>
  <w15:docId w15:val="{CC6277B7-BC6B-4713-A6EB-1059A68BFFD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Theme="minorHAnsi" w:hAnsi="Arial" w:cstheme="minorBidi"/>
        <w:kern w:val="2"/>
        <w:sz w:val="24"/>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EA39D9"/>
    <w:pPr>
      <w:ind w:left="720"/>
      <w:contextualSpacing/>
    </w:pPr>
  </w:style>
  <w:style w:type="paragraph" w:styleId="Header">
    <w:name w:val="header"/>
    <w:basedOn w:val="Normal"/>
    <w:link w:val="HeaderChar"/>
    <w:uiPriority w:val="99"/>
    <w:unhideWhenUsed/>
    <w:rsid w:val="00B80298"/>
    <w:pPr>
      <w:tabs>
        <w:tab w:val="center" w:pos="4513"/>
        <w:tab w:val="right" w:pos="9026"/>
      </w:tabs>
      <w:spacing w:after="0" w:line="240" w:lineRule="auto"/>
    </w:pPr>
  </w:style>
  <w:style w:type="character" w:customStyle="1" w:styleId="HeaderChar">
    <w:name w:val="Header Char"/>
    <w:basedOn w:val="DefaultParagraphFont"/>
    <w:link w:val="Header"/>
    <w:uiPriority w:val="99"/>
    <w:rsid w:val="00B80298"/>
  </w:style>
  <w:style w:type="paragraph" w:styleId="Footer">
    <w:name w:val="footer"/>
    <w:basedOn w:val="Normal"/>
    <w:link w:val="FooterChar"/>
    <w:uiPriority w:val="99"/>
    <w:unhideWhenUsed/>
    <w:rsid w:val="00B80298"/>
    <w:pPr>
      <w:tabs>
        <w:tab w:val="center" w:pos="4513"/>
        <w:tab w:val="right" w:pos="9026"/>
      </w:tabs>
      <w:spacing w:after="0" w:line="240" w:lineRule="auto"/>
    </w:pPr>
  </w:style>
  <w:style w:type="character" w:customStyle="1" w:styleId="FooterChar">
    <w:name w:val="Footer Char"/>
    <w:basedOn w:val="DefaultParagraphFont"/>
    <w:link w:val="Footer"/>
    <w:uiPriority w:val="99"/>
    <w:rsid w:val="00B80298"/>
  </w:style>
  <w:style w:type="table" w:styleId="TableGrid">
    <w:name w:val="Table Grid"/>
    <w:basedOn w:val="TableNormal"/>
    <w:uiPriority w:val="59"/>
    <w:rsid w:val="00B80298"/>
    <w:pPr>
      <w:spacing w:after="0" w:line="240" w:lineRule="auto"/>
    </w:pPr>
    <w:rPr>
      <w:rFonts w:asciiTheme="minorHAnsi" w:hAnsiTheme="minorHAnsi"/>
      <w:kern w:val="0"/>
      <w:sz w:val="22"/>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idTable4-Accent11">
    <w:name w:val="Grid Table 4 - Accent 11"/>
    <w:basedOn w:val="TableNormal"/>
    <w:next w:val="GridTable4-Accent1"/>
    <w:uiPriority w:val="49"/>
    <w:rsid w:val="008A5CF9"/>
    <w:pPr>
      <w:spacing w:after="0" w:line="240" w:lineRule="auto"/>
    </w:pPr>
    <w:rPr>
      <w:rFonts w:ascii="Calibri" w:hAnsi="Calibri"/>
      <w:kern w:val="0"/>
      <w:sz w:val="22"/>
      <w14:ligatures w14:val="none"/>
    </w:rPr>
    <w:tblPr>
      <w:tblStyleRowBandSize w:val="1"/>
      <w:tblStyleColBandSize w:val="1"/>
      <w:tblBorders>
        <w:top w:val="single" w:sz="4" w:space="0" w:color="9CC2E5"/>
        <w:left w:val="single" w:sz="4" w:space="0" w:color="9CC2E5"/>
        <w:bottom w:val="single" w:sz="4" w:space="0" w:color="9CC2E5"/>
        <w:right w:val="single" w:sz="4" w:space="0" w:color="9CC2E5"/>
        <w:insideH w:val="single" w:sz="4" w:space="0" w:color="9CC2E5"/>
        <w:insideV w:val="single" w:sz="4" w:space="0" w:color="9CC2E5"/>
      </w:tblBorders>
    </w:tblPr>
    <w:tblStylePr w:type="firstRow">
      <w:rPr>
        <w:b/>
        <w:bCs/>
        <w:color w:val="FFFFFF"/>
      </w:rPr>
      <w:tblPr/>
      <w:tcPr>
        <w:tcBorders>
          <w:top w:val="single" w:sz="4" w:space="0" w:color="5B9BD5"/>
          <w:left w:val="single" w:sz="4" w:space="0" w:color="5B9BD5"/>
          <w:bottom w:val="single" w:sz="4" w:space="0" w:color="5B9BD5"/>
          <w:right w:val="single" w:sz="4" w:space="0" w:color="5B9BD5"/>
          <w:insideH w:val="nil"/>
          <w:insideV w:val="nil"/>
        </w:tcBorders>
        <w:shd w:val="clear" w:color="auto" w:fill="5B9BD5"/>
      </w:tcPr>
    </w:tblStylePr>
    <w:tblStylePr w:type="lastRow">
      <w:rPr>
        <w:b/>
        <w:bCs/>
      </w:rPr>
      <w:tblPr/>
      <w:tcPr>
        <w:tcBorders>
          <w:top w:val="double" w:sz="4" w:space="0" w:color="5B9BD5"/>
        </w:tcBorders>
      </w:tcPr>
    </w:tblStylePr>
    <w:tblStylePr w:type="firstCol">
      <w:rPr>
        <w:b/>
        <w:bCs/>
      </w:rPr>
    </w:tblStylePr>
    <w:tblStylePr w:type="lastCol">
      <w:rPr>
        <w:b/>
        <w:bCs/>
      </w:rPr>
    </w:tblStylePr>
    <w:tblStylePr w:type="band1Vert">
      <w:tblPr/>
      <w:tcPr>
        <w:shd w:val="clear" w:color="auto" w:fill="DEEAF6"/>
      </w:tcPr>
    </w:tblStylePr>
    <w:tblStylePr w:type="band1Horz">
      <w:tblPr/>
      <w:tcPr>
        <w:shd w:val="clear" w:color="auto" w:fill="DEEAF6"/>
      </w:tcPr>
    </w:tblStylePr>
  </w:style>
  <w:style w:type="table" w:styleId="GridTable4-Accent1">
    <w:name w:val="Grid Table 4 Accent 1"/>
    <w:basedOn w:val="TableNormal"/>
    <w:uiPriority w:val="49"/>
    <w:rsid w:val="008A5CF9"/>
    <w:pPr>
      <w:spacing w:after="0" w:line="240" w:lineRule="auto"/>
    </w:pPr>
    <w:tblPr>
      <w:tblStyleRowBandSize w:val="1"/>
      <w:tblStyleColBandSize w:val="1"/>
      <w:tblBorders>
        <w:top w:val="single" w:sz="4" w:space="0" w:color="8EAADB" w:themeColor="accent1" w:themeTint="99"/>
        <w:left w:val="single" w:sz="4" w:space="0" w:color="8EAADB" w:themeColor="accent1" w:themeTint="99"/>
        <w:bottom w:val="single" w:sz="4" w:space="0" w:color="8EAADB" w:themeColor="accent1" w:themeTint="99"/>
        <w:right w:val="single" w:sz="4" w:space="0" w:color="8EAADB" w:themeColor="accent1" w:themeTint="99"/>
        <w:insideH w:val="single" w:sz="4" w:space="0" w:color="8EAADB" w:themeColor="accent1" w:themeTint="99"/>
        <w:insideV w:val="single" w:sz="4" w:space="0" w:color="8EAADB" w:themeColor="accent1" w:themeTint="99"/>
      </w:tblBorders>
    </w:tblPr>
    <w:tblStylePr w:type="firstRow">
      <w:rPr>
        <w:b/>
        <w:bCs/>
        <w:color w:val="FFFFFF" w:themeColor="background1"/>
      </w:rPr>
      <w:tblPr/>
      <w:tcPr>
        <w:tcBorders>
          <w:top w:val="single" w:sz="4" w:space="0" w:color="4472C4" w:themeColor="accent1"/>
          <w:left w:val="single" w:sz="4" w:space="0" w:color="4472C4" w:themeColor="accent1"/>
          <w:bottom w:val="single" w:sz="4" w:space="0" w:color="4472C4" w:themeColor="accent1"/>
          <w:right w:val="single" w:sz="4" w:space="0" w:color="4472C4" w:themeColor="accent1"/>
          <w:insideH w:val="nil"/>
          <w:insideV w:val="nil"/>
        </w:tcBorders>
        <w:shd w:val="clear" w:color="auto" w:fill="4472C4" w:themeFill="accent1"/>
      </w:tcPr>
    </w:tblStylePr>
    <w:tblStylePr w:type="lastRow">
      <w:rPr>
        <w:b/>
        <w:bCs/>
      </w:rPr>
      <w:tblPr/>
      <w:tcPr>
        <w:tcBorders>
          <w:top w:val="double" w:sz="4" w:space="0" w:color="4472C4" w:themeColor="accent1"/>
        </w:tcBorders>
      </w:tcPr>
    </w:tblStylePr>
    <w:tblStylePr w:type="firstCol">
      <w:rPr>
        <w:b/>
        <w:bCs/>
      </w:rPr>
    </w:tblStylePr>
    <w:tblStylePr w:type="lastCol">
      <w:rPr>
        <w:b/>
        <w:bCs/>
      </w:rPr>
    </w:tblStylePr>
    <w:tblStylePr w:type="band1Vert">
      <w:tblPr/>
      <w:tcPr>
        <w:shd w:val="clear" w:color="auto" w:fill="D9E2F3" w:themeFill="accent1" w:themeFillTint="33"/>
      </w:tcPr>
    </w:tblStylePr>
    <w:tblStylePr w:type="band1Horz">
      <w:tblPr/>
      <w:tcPr>
        <w:shd w:val="clear" w:color="auto" w:fill="D9E2F3" w:themeFill="accent1" w:themeFillTint="33"/>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Pages>5</Pages>
  <Words>912</Words>
  <Characters>5203</Characters>
  <Application>Microsoft Office Word</Application>
  <DocSecurity>0</DocSecurity>
  <Lines>43</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6103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Edwina Nwaogu</dc:creator>
  <cp:keywords/>
  <dc:description/>
  <cp:lastModifiedBy>Vaibhav Joshi</cp:lastModifiedBy>
  <cp:revision>5</cp:revision>
  <dcterms:created xsi:type="dcterms:W3CDTF">2025-07-07T11:27:00Z</dcterms:created>
  <dcterms:modified xsi:type="dcterms:W3CDTF">2025-07-20T14:11:00Z</dcterms:modified>
</cp:coreProperties>
</file>